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E-394/2017 vom 13. April 2017</w:t>
      </w:r>
    </w:p>
    <w:p>
      <w:r>
        <w:t>Bundesverwaltungsgericht, 2017-04-13, DE</w:t>
      </w:r>
    </w:p>
    <w:p>
      <w:r>
        <w:rPr>
          <w:b/>
        </w:rPr>
        <w:t xml:space="preserve">Quelle: </w:t>
      </w:r>
      <w:r>
        <w:t>https://mcp.opencaselaw.ch/entscheid/bvger_E-394_2017</w:t>
      </w:r>
    </w:p>
    <w:p>
      <w:r>
        <w:t>FR: TAF E-394/2017 du 13 avril 2017</w:t>
      </w:r>
    </w:p>
    <w:p>
      <w:r>
        <w:t>IT: TAF E-394/2017 del 13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der nachstehenden Erwägung 3.2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bildet der Asylpunkt, die Wegweisung und die Flüchtlingseigenschaft der Beschwerdeführerin. Der Wegweisungsvollzug ist nicht mehr zu prüfen, nachdem die Vorinstanz den Beschwerdeführer wegen Unzumutbarkeit des Vollzugs der Wegweisung vorläufig aufgenommen hat.</w:t>
      </w:r>
    </w:p>
    <w:p>
      <w:r>
        <w:rPr>
          <w:b/>
        </w:rPr>
        <w:t>E. 3.2</w:t>
      </w:r>
    </w:p>
    <w:p>
      <w:r>
        <w:t>Da das Rechtsbegehren, die angefochtene Verfügung sei aufzuheben, auch die Aufhebung der zu seinen Gunsten ausfallenden Ziffern 4 und 5 des Dispositivs beinhaltet, mangelt es ihm diesbezüglich an einem schutzwürdigen Interesse, weshalb insoweit auf die Beschwerde nicht einzutreten ist.</w:t>
      </w:r>
    </w:p>
    <w:p>
      <w:r>
        <w:rPr>
          <w:b/>
        </w:rPr>
        <w:t>E. 4.1</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4.2</w:t>
      </w:r>
    </w:p>
    <w:p>
      <w:r>
        <w:t>Dem Beschwerdeführer wurde mit Zwischenverfügung vom 24. Januar 2017 die unentgeltliche Prozessführung sowie Verbeiständung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6.1</w:t>
      </w:r>
    </w:p>
    <w:p>
      <w:r>
        <w:t>Die Vorinstanz führt in der angefochtenen Verfügung aus, dem alleinigen Umstand, dass der Beschwerdeführer Eritrea im nicht militärdienstpflichtigen Alter verlassen habe und bei einer allfälligen Rückkehr in den Militärdienst eingezogen werden könnte, komme keine asylrelevante Bedeutung zu. Zudem erfülle er die Flüchtlingseigenschaft auch wegen der geltend gemachten illegalen Ausreise aus Eritrea nicht.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demnach eine untergeordnete Rolle. Der Beschwerdeführer habe weder den Nationaldienst verweigert noch sei er desertiert. Er habe somit nach den aktuellen Erkenntnissen des SEM nicht gegen die Proclamation on National Service von 1995 verstossen. Den Akten seien auch sonst keine Anhaltspunkte zu entnehmen, wonach er bei einer Rückkehr nach Eritrea ernsthafte Nachteile zu gewärtigen hätte. Gesamthaft würden die Vorbringen des Beschwerdeführers den Anforderungen an die Flüchtlingseigenschaft gemäss Art. 3 AsylG nicht standhalten.</w:t>
      </w:r>
    </w:p>
    <w:p>
      <w:r>
        <w:rPr>
          <w:b/>
        </w:rPr>
        <w:t>E. 6.2</w:t>
      </w:r>
    </w:p>
    <w:p>
      <w:r>
        <w:t>In der Rechtsmitteleingabe bringt der Beschwerdeführer vor, er sei mittlerweile im militärdienstpflichtigen Alter. Durch seinen Aufenthalt im Ausland habe er eine Rekrutierung verunmöglicht. Bei einer Rückkehr werde er als Dienstverweigerer behandelt. Das Risiko einer Verfolgung bestehe auch bei Erklärung des Bedauerns und der Bezahlung der Diasporasteuer. Die Bestrafung sei unverhältnismässig streng und politisch motiviert. Zudem sei die von der Vorinstanz vollzogene Praxisänderung, wonach die illegale Ausreise aus Eritrea asylrechtlich unbeachtlich sei, rechtlich nicht haltbar, da sie auf einer ungenügenden Informationsgrundlage basiere und die Zulässigkeitsvoraussetzungen einer Abweichung von der ständigen Rechtsprechung des angerufenen Gerichts nicht erfülle (BVGE 2010/54). Es sei deshalb davon auszugehen, dass er bei einer Rückkehr nach Eritrea mit Nachteilen im Sinne von Art. 3 AsylG zu rechnen habe.</w:t>
      </w:r>
    </w:p>
    <w:p>
      <w:r>
        <w:rPr>
          <w:b/>
        </w:rPr>
        <w:t>E. 7.1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statt vieler: Urteil des BVGer D-4449/2015 vom 22. September 2016, E. 5.3.1). Diese Rechtsprechung wurde jüngst aufgegeben. Das Bundesverwaltungsgericht kam im genannten als Referenzurteil zu publizierenden Urteil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Das Gericht kommt zum Schluss, dass allein aufgrund einer illegalen Ausreise keine begründete Furcht vor asylrechtlich beachtlicher Verfolgung angenommen werden kann.</w:t>
      </w:r>
    </w:p>
    <w:p>
      <w:r>
        <w:rPr>
          <w:b/>
        </w:rPr>
        <w:t>E. 7.2</w:t>
      </w:r>
    </w:p>
    <w:p>
      <w:r>
        <w:t>Die Frage der Zulässigkeit der Praxisänderung der Vorinstanz bezüglich der flüchtlingsrechtlichen Beurteilung der illegalen Ausreise aus Eritrea ist vom Bundesverwaltungsgericht somit geklärt worden. Es kam zu Schluss, dass allein aufgrund einer illegalen Ausreise keine begründete Furcht vor asylrechtlich beachtlicher Verfolgung angenommen werden könne (vgl. vorstehend E. 5.1). Beim Beschwerdeführer liegen überdies, wie von der Vorinstanz zutreffend festgestellt, keine zusätzlichen Anknüpfungspunkte vor, welche zu einer Schärfung seines Profils führen. Zum Zeitpunkt der Ausreise war er noch minderjährig und wurde noch nicht zum Militärdienst aufgeboten (vgl. SEM-Akten A7/10 Ziffer 7.02). Mit den Militärbehörden habe er nie konkreten Kontakt gehabt (vgl. SEM-Akten A24/13 F65). Für eine drohende asylrelevante Verfolgung wegen Dienstverweigerung bestehen somit keine Anhaltspunkte. Soweit er ausführt, die Schilderungen zur illegalen Ausreise seien glaubhaft ausgefallen, was von der Vor-instanz auch nicht bemängelt worden sei, ist anzufügen, dass auf die Glaubhaftigkeit zufolge der Asylirrelevanz nicht weiter einzugehen ist.</w:t>
      </w:r>
    </w:p>
    <w:p>
      <w:r>
        <w:rPr>
          <w:b/>
        </w:rPr>
        <w:t>E. 7.3</w:t>
      </w:r>
    </w:p>
    <w:p>
      <w:r>
        <w:t>Nachdem der Beschwerdeführer neben der illegalen Ausreise keine zusätzlichen Anknüpfungspunkte für eine Verschärfung seines Profils aufweist, ist vorliegend nicht von einer asylrechtlich beachtlichen Verfolgung auszugehen. Die Vorinstanz hat das Asylgesuch folglich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10</w:t>
      </w:r>
    </w:p>
    <w:p>
      <w:r>
        <w:t>Aus diesen Erwägungen ergibt sich, dass die angefochtene Verfügung Bundesrecht nicht verletzt und auch sonst nicht zu beanstanden ist (Art. 106 AsylG). Die Beschwerde ist abzuweisen, soweit darauf einzutreten ist.</w:t>
      </w:r>
    </w:p>
    <w:p>
      <w:r>
        <w:rPr>
          <w:b/>
        </w:rPr>
        <w:t>E. 11.1</w:t>
      </w:r>
    </w:p>
    <w:p>
      <w:r>
        <w:t>Mit Zwischenverfügung vom 24. Januar 2017 wurde das Gesuch um Gewährung der unentgeltlichen Prozessführung gutgeheissen, weshalb vorliegend keine Verfahrenskosten zu erheben sind.</w:t>
      </w:r>
    </w:p>
    <w:p>
      <w:r>
        <w:rPr>
          <w:b/>
        </w:rPr>
        <w:t>E. 11.2</w:t>
      </w:r>
    </w:p>
    <w:p>
      <w:r>
        <w:t>Mit derselben Zwischenverfügung hat die Instruktionsrichterin das Gesuch um Gewährung der unentgeltlichen Verbeiständung gutgeheissen und MLaw Stefan Frost als amtlichen Rechtsbeistand eingesetzt. Der Rechtsvertreter weist in der eingereichten Honorarnote vom 19. Januar 2017 einen zeitlichen Aufwand von 4.75 Stunden (à Fr. 180.-) und einen zusätzlichen Aufwand von Fr. 50.- (Spesenpauschale) aus. Der geltend gemachte zeitliche Aufwand erscheint angemessen. Ausgehend von einem Stundenansatz von Fr. 150.- (vgl. Zwischenverfügung vom 24. Januar 2017) bemisst sich das Honorar auf Fr. 769.50 (inkl. Mehrwertsteuerzuschlag gemäss Art. 9 Abs. 1 Bst. c VGKE). Zusammen mit der Spesenpauschale von Fr. 50.- (kein Mehrwertsteuerzuschlag gemäss Art. 9 Abs. 1 Bst. c VGKE) ist dem Rechtsvertreter somit von der Gerichtskasse ein amtliches Honorar von insgesamt Fr. 819.50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