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E-3946/2009 vom 17. September 2009</w:t>
      </w:r>
    </w:p>
    <w:p>
      <w:r>
        <w:t>Bundesverwaltungsgericht, 2009-09-17, DE</w:t>
      </w:r>
    </w:p>
    <w:p>
      <w:r>
        <w:rPr>
          <w:b/>
        </w:rPr>
        <w:t xml:space="preserve">Quelle: </w:t>
      </w:r>
      <w:r>
        <w:t>https://mcp.opencaselaw.ch/entscheid/bvger_E-3946_2009</w:t>
      </w:r>
    </w:p>
    <w:p>
      <w:r>
        <w:t>FR: TAF E-3946/2009 du 17 septembre 2009</w:t>
      </w:r>
    </w:p>
    <w:p>
      <w:r>
        <w:t>IT: TAF E-3946/2009 del 17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Die Beschwerdeführerin und ihre Tochter sind durch die angefochtene Ver-fügung besonders berührt und haben ein schutzwürdiges Interesse an deren Aufhebung beziehungsweise Änderung. Die Beschwerdefüh-rerin und ihre Tochter sind daher zur Einreichung der Beschwerde le-gitimiert (Art. 108 Abs. 1 und 105 AsylG i.V.m. Art. 48 Abs. 1 und 52 VwVG). Auf die Beschwerde ist einzutreten.</w:t>
      </w:r>
    </w:p>
    <w:p>
      <w:r>
        <w:rPr>
          <w:b/>
        </w:rPr>
        <w:t>E. 1.3</w:t>
      </w:r>
    </w:p>
    <w:p>
      <w:r>
        <w:t>Die Vernehmlassung der Vorinstanz vom 5. August 2009 wurde der Beschwerdeführerin bisher nicht zur Stellungnahme unterbreitet. Aus Gründen der Prozessökonomie ist von einer Gewährung des rechtlichen Gehörs in diesem Zusammenhang abzusehen, weil die angefochtene Verfügung aufgrund der nachstehenden Erwägungen aufzuheben und die Sache an das BFM zurückzuweisen ist. Ein Doppel der Vernehmlassung wird jedoch Im Sinne der Verfahrenstransparenz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Art. 16 Abs. 2 AsylG statuiert, dass das Verfahren vor dem BFM in der Regel in der Amtssprache geführt wird, in welcher die kantonale Anhörung stattfand oder die am Wohnort der asylsuchenden Person Amtssprache ist. Laut Art. 4 der Asylverordnung 1 vom 11. August 1999 über Verfahrensfragen (AsylV 1, SR 142.311) kann von dieser Regel dann abgewichen werden, wenn die asylsuchende Person oder deren Rechtsvertreter einer anderen Amtssprache mächtig ist (Bst. a), dies unter Berücksichtigung der Gesuchseingänge oder der Personalsituation vorübergehend für eine effiziente und fristgerechte Gesuchserledigung erforderlich ist (Bst. b) oder die asylsuchende Person nach Art. 29 Abs. 4 AsylG in einer Empfangsstelle direkt angehört und einem Kanton mit einer anderen Amtssprache zugewiesen wird (Bst. c).</w:t>
      </w:r>
    </w:p>
    <w:p>
      <w:r>
        <w:rPr>
          <w:b/>
        </w:rPr>
        <w:t>E. 3.2</w:t>
      </w:r>
    </w:p>
    <w:p>
      <w:r>
        <w:t>Die vormals zuständige Schweizerischen Asylrekurskommission (ARK) hat in ihrer Rechtsprechung, der sich das Bundesverwaltungsgericht anschliesst, die Tragweite von Art. 4 AsylV 1 konkretisiert. Sie hat ausgeführt, dass eine Ausnahme von der in Art. 16 Abs. 2 AsylG statuierten Regel gestützt auf Art. 4 Bstn. b und c AsylV 1 zulässig ist, wenn die asylsuchende Person von einem professionellen Rechtsvertreter vertreten wird. Fehlt ein professioneller Rechtsvertreter, rechtfertigt sich eine Abweichung von der Regel dann, wenn gleichzeitig im Gegenzug geeignete Korrektiv-Massnahmen getroffen werden, die das Recht auf eine wirksame Beschwerde und auf einen fairen Prozess gewährleisten. Eine der möglichen Korrektiv-Massnahmen besteht darin, dass das BFM die ergangene Verfügung der asylsuchenden Person in eine ihr verständliche Sprache übersetzt. Zudem ist die Vorinstanz verpflichtet, die Abweichung von der Regel in Art. 16 Abs. 2 AsylG im konkreten Einzelfall entsprechend zu begründen. In allen anderen Fällen liegt ein Verfahrensmangel vor, der die Kassation der angefochtenen Verfügung nach sich zieht (Entscheidungen und Mitteilungen der Schweizerischen Asylrekurskommission [EMARK] 2004 Nr. 29 S. 189 ff. und 2005 Nr. 22 E. 3 S. 207 f.) Wird eine asylsuchende Person einem zweisprachigen Kanton zugewiesen, so bestimmt sich die vom Bundesamt anzuwendende Verfahrenssprache im Sinne von Art. 16 Abs. 2 AsylG nach den kantonalen Vorschriften, die für den Aufenthaltsort der betroffenen Person gelten (EMARK 2005 Nr. 22 E. 2).</w:t>
      </w:r>
    </w:p>
    <w:p>
      <w:r>
        <w:rPr>
          <w:b/>
        </w:rPr>
        <w:t>E. 3.3</w:t>
      </w:r>
    </w:p>
    <w:p>
      <w:r>
        <w:t>Das Bundesverwaltungsgericht stellt vorliegend fest, dass die Voraussetzungen von Art. 4 AsylV 1 für eine Abweichung von der in Art. 16 Abs. 2 AsylG statuierten Regel zur Verfahrenssprache vor dem Bundesamt nicht erfüllt sind. Die Beschwerdeführerin war zum Zeit-punkt der Eröffnung der in französischer Sprache ergangenen Verfügung nach deren Zuweisung im Kanton D._______, wo die Amtssprache Deutsch ist, wohnhaft. Sie war zum fraglichen Zeitpunkt nicht von einem professionellen Rechtsvertreter vertreten und ist der französischen Sprache nicht mächtig (vgl. Akten BFM B4/10 S. 2). Zudem hat die Vorinstanz weder anlässlich der Eröffnung der Verfügung geeignete Korrektiv-Massnahmen wie beispielsweise die Übersetzung der ergangenen Verfügung in eine der Beschwerde-führerin verständliche Sprache getroffen noch diesen Verfahrensfehler auf Beschwerdeebene im Rahmen der Vernehmlassung korrigiert. Des Weiteren hat es das Bundesamt unterlassen, zu begründen, weshalb aus seiner Sicht der Erlass einer französischsprachigen Verfügung gerechtfertigt erscheint.</w:t>
      </w:r>
    </w:p>
    <w:p>
      <w:r>
        <w:rPr>
          <w:b/>
        </w:rPr>
        <w:t>E. 4</w:t>
      </w:r>
    </w:p>
    <w:p>
      <w:r>
        <w:t>Aus diesen Erwägungen ergibt sich, dass die angefochtene Verfügung Bundesrecht verletzt (Art. 106 AsylG). Die Beschwerde ist im Sinne der Erwägungen gutzuheissen. Die Verfügung vom 10. Juni 2009 ist wegen Verletzung der Verfahrensvorschrift von Art. 16 Abs. 2 AsylG aufzuheben und die Sache an das BFM zurückzuweisen.</w:t>
      </w:r>
    </w:p>
    <w:p>
      <w:r>
        <w:rPr>
          <w:b/>
        </w:rPr>
        <w:t>E. 5</w:t>
      </w:r>
    </w:p>
    <w:p>
      <w:r>
        <w:t>Bei diesem Ausgang des Verfahrens sind keine Kosten aufzuerlegen (Art. 63 Abs. 1 VwVG). Aufgrund der Akten ist nicht davon auszugehen, der nicht vertretenen Beschwerdeführerin seien verhältnismässig hohe Kosten entstanden, weshalb keine Parteientschädigung zuzu-sprechen ist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