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E-3940/2015 vom 2. Juli 2015</w:t>
      </w:r>
    </w:p>
    <w:p>
      <w:r>
        <w:t>Bundesverwaltungsgericht, 2015-07-02, DE</w:t>
      </w:r>
    </w:p>
    <w:p>
      <w:r>
        <w:rPr>
          <w:b/>
        </w:rPr>
        <w:t xml:space="preserve">Quelle: </w:t>
      </w:r>
      <w:r>
        <w:t>https://mcp.opencaselaw.ch/entscheid/bvger_E-3940_2015</w:t>
      </w:r>
    </w:p>
    <w:p>
      <w:r>
        <w:t>FR: TAF E-3940/2015 du 2 juillet 2015</w:t>
      </w:r>
    </w:p>
    <w:p>
      <w:r>
        <w:t>IT: TAF E-3940/2015 del 2 luglio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 Folglich ist auf die Anträge um Zuerkennung der Flüchtlingseigenschaft und Gewährung von Asyl (im Sinne von Art. 3 AsylG) nicht einzutreten.</w:t>
      </w:r>
    </w:p>
    <w:p>
      <w:r>
        <w:rPr>
          <w:b/>
        </w:rPr>
        <w:t>E. 1.4</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 2.1 Gemäss Art. 31a Abs. 1 Bst. b AsylG tritt das SEM auf ein Asylgesuch in der Regel nicht ein, wenn Asylsuchende in einen Drittstaat ausreisen können, welcher für die Durchführung des Asyl- und Wegweisungsverfahrens staatsvertraglich zuständig ist. 2.2 Beim Aufnahmeverfahren (take charge - wie vorliegend) sind die Kriterien in der in Kapitel III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 neuerliche -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Mithin ist vorliegend - Art. 9 bis 11 Dublin III-VO spielen keine Rolle - derjenige Mitgliedstaat zuständig für die Prüfung des Antrags auf internationalen Schutz, der dem Antragsteller ein Visum erteilt hat (Art. 12 Abs. 2 Dublin-III-VO). In zweiter Linie wäre dann jeder Antrag von einem einzigen Mitgliedstaat zu prüfen, der nach den Kriterien des Kapitels II als zuständiger Staat bestimmt wird (Art. 3 Abs. 1, Satz 2).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 Weitere Einzelheiten hierzu lassen sich den übrigen Verordnungsbestimmungen entnehmen. 2.3 2.3.1 Die Vorinstanz führte in der Begründung ihres Nichteintretensentscheides aus, dass die Zuständigkeit zur Durchführung des Asyl- und Wegweisungsverfahrens an Schweden übergegangen sei. Aus dem Umstand, dass der Beschwerdeführer per Visa der schwedischen Vertretung in Nairobi auf dem Luftweg ins Hoheitsgebiet der Dublin-Staaten (in casu Italien) eingereist sei, sei auf sein Asylgesuch nicht einzutreten, weil er nach Schweden ausreisen könne, welches für die Durchführung des Asyl- und Wegweisungsverfahrens gestützt auf Art. 12 Abs. 2 Dublin-III-VO zuständig sei (Art. 31a Abs. 1 Bst. b AsylG). Es würden keine konkreten Anhaltspunkte dafür vorliegen, dass Schweden sich nicht an seine völkerrechtlichen Verpflichtungen halten und das Asyl- und Wegweisungsverfahren nicht korrekt durchführen werde. 2.3.2 Der Beschwerdeführer hielt der Auffassung des SEM in der Rechtsschrift die folgenden Argumente entgegen: (1) Er sei südsudanesischer Staatsbürger und Schweden sei für sein Asylverfahren nicht zuständig. Er sei von den Schleppern in diverse Botschaften gebracht worden, wo er seine Fingerabdrücke habe abgeben müssen. Es sei aber einem Asylbewerber nicht möglich zu wissen, mit welchem Reisepass und welcher Identität er von den Schleppern ins Schengenland eingeschleust worden sei, weil diese für die Reisen ihrer Klienten nach Europa verschiedene Reisepässe verwendeten. Falls nun - wie in seinem Fall - bewiesen sei, dass die Ausstellung des Visums auf einer betrügerischen Grundlage basiere, könne der das Visum ausstellende Mitgliedstaat, somit Schweden, nicht für das hängige Asylverfahren zuständig sein. Folglich sei die Schweiz zuständig. Ungeachtet dessen wäre die Schweiz zuständig, weil das schwedische Visum im gefälschten Reisepass schon über sechs Monate abgelaufen sei. (2) Er sei in einem schlechten gesundheitlichen Zustand, der keine Ausreise erlaube. Er sei bis zum 1. Juni 2015 in einer psychiatrischen Einrichtung in stationärer Behandlung gewesen; er sei akut suizidal. Er benötige die Nähe und Fürsorge einer Vertrauensperson, die er in Pastor T.L. in der Schweiz gefunden habe. Er trage zu seiner psychischen Situation viel Positives bei. (3) Aktuell laufe ein Strafverfahren gegen einen Schlepper. Ohne seine Anwesenheit könne die Schweiz diesen nicht der Straftat überführen, weil er der einzige Zeuge sei. Aus den drei Gründen habe sich die Schweiz für die Behandlung seines Asylgesuchs als zuständig zu erklären. 2.3.3 Aufgrund des mit gültigem Schengenvisum der schwedischen Vertretung in Kenia ermöglichten Aufenthalts des Beschwerdeführers im Schengenraum ab (...) Juli 2014 bis am (...) August 2014 hat die Vorinstanz am 15. September 2014 - mithin fristgerecht - die schwedischen Behörden gestützt auf Art. 12 Abs. 2 Dublin-III-VO zu Recht um Übernahme des Beschwerdeführers ersucht. Mit der Zustimmung zum Übernahmeersuchen innert der in Art. 22 Abs. 1 Dublin-III-VO vorgesehenen Frist (sog. Verfristung) haben sie die Zuständigkeit Schwedens anerkannt (Art. 22 Abs. 7 Dublin-III-VO). Damit ist die grundsätzliche Zuständigkeit Schwedens für die Durchführung des Asyl- und Wegweisungsverfahrens gegeben. Die im vorstehenden Abschnitt erwähnten Gründe des Beschwerdeführers und seine Ausführungen zur Dublin-III-VO vermögen an dieser Zuständigkeit Schwedens nichts zu ändern. 2.4 Im Lichte von Art. 3 Abs. 2 Dublin-III-VO ist sodann zu prüfen, ob es wesentliche Gründe für die Annahme gibt, das Asylverfahren und die Aufnahmebedingungen für Asylsuchende in Schweden würden systemische Schwachstellen aufweisen, die eine Gefahr einer unmenschlichen oder ent­würdigenden Behandlung im Sinne von Art. 4 der EU-Grundrechtecharta mit sich bringen würden. 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Schweden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Der Beschwerdeführer brachte nichts dagegen vor. Unter diesen Umständen ist die Anwendung von Art. 3 Abs. 2 Dublin-III-VO nicht gerechtfertigt. 2.5 2.5.1 Der Beschwerdeführer ersucht sinngemäss um Anwendung der Ermessensklausel von Art. 17 Abs. 1 Dublin-III-VO, was zum Selbsteintritt der Schweiz und zur materiellen Beurteilung des Antrags auf internationalen Schutz durch dieses Land führen würde. Er macht hierzu die in E. 2.3.2 erwähnten Gründe geltend. Demgegenüber ist dem medizinischen Bericht vom 1. Juni 2015 zu entnehmen, dass er wegen fehlender unmittelbarer Selbst- und/oder Fremdgefährdung aus der Psychiatrieanstalt habe entlassen werden können, auch wenn bei ihm noch Ängste im Rahmen der Posttraumatischen Belastungsstörung bestehen würden. Somit ist bei ihm weder von einer aktuell akuten Suizidalität noch von einer fehlenden Reisefähigkeit auszugehen. Folglich ist der von der Vor-instanz am 10. Juni 2015 festgestellte rechtserhebliche Sachverhalt unverändert aktuell. 2.5.2 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Das SEM hat die wesentlichen Umstände, welche die Überstellung des Beschwerdeführers aufgrund seiner individuellen Situation oder der Verhältnisse im zuständigen Staat hätten problematisch erscheinen lassen können, geprüft und dargelegt, weshalb es auf einen Selbsteintritt aus humanitären Gründen verzichtet hat. Der Vorinstanz kann dabei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 Daran ändert der erst auf Beschwerdestufe erhobene Hinweis einer Zeugenstellung in einem möglichen schweizerischen Strafverfahren nichts. 2.6 Die schweizerischen Behörden, die mit dem Vollzug der angefochten Verfügung beauftragt sind, werden den medizinischen Umständen bei der Bestimmung der Überstellung des Beschwerdeführers Rechnung tragen und die schwedischen Behörden vorgängig in geeigneter Weise informieren (vgl. Art. 31 f. Dublin-III-VO).</w:t>
      </w:r>
    </w:p>
    <w:p>
      <w:r>
        <w:rPr>
          <w:b/>
        </w:rPr>
        <w:t>E. 3</w:t>
      </w:r>
    </w:p>
    <w:p>
      <w:r>
        <w:t>Zusammenfassend hat die Vorinstanz zu Recht die Zuständigkeit Schwedens festgestellt, ist in Anwendung von Art. 31a Abs. 1 Bst. b AsylG auf das Asylgesuch des Beschwerdeführers nicht eingetreten und hat die Wegweisung nach Schweden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4</w:t>
      </w:r>
    </w:p>
    <w:p>
      <w:r>
        <w:t>Das Beschwerdeverfahren ist mit vorliegendem Urteil abgeschlossen. Die Anträge auf Einholung weiterer Abklärungen zum Gesundheitszustand und zur Reisefähigkeit sind abzuweisen, diejenigen auf Sistierung von Wegweisungs- und Zwangsmassnahmen, Gewährung der Anordnung vollzugshindernder Massnahmen und (sinngemäss) Entbindung von einer Kostenvorschusspflicht erweisen sich mit vorliegendem Urteil als gegenstandslos.</w:t>
      </w:r>
    </w:p>
    <w:p>
      <w:r>
        <w:rPr>
          <w:b/>
        </w:rPr>
        <w:t>E. 5</w:t>
      </w:r>
    </w:p>
    <w:p>
      <w:r>
        <w:t>Das mit der Beschwerde gestellte Gesuch um Gewährung der unentgeltlichen Prozessführung ist abzuweisen, da die Begehren, wie sich aus den vorstehenden Erwägungen ergibt, als aussichtlos zu bezeichnen sind, und die Bedürftigkeit des Beschwerdeführers nicht belegt ist, weshalb die Voraussetzungen von Art. 65 Abs. 1 VwVG nicht erfüllt sind.</w:t>
      </w:r>
    </w:p>
    <w:p>
      <w:r>
        <w:rPr>
          <w:b/>
        </w:rPr>
        <w:t>E. 6</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