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E-3936/2019 vom 3. März 2020</w:t>
      </w:r>
    </w:p>
    <w:p>
      <w:r>
        <w:t>Bundesverwaltungsgericht, 2020-03-03, DE</w:t>
      </w:r>
    </w:p>
    <w:p>
      <w:r>
        <w:rPr>
          <w:b/>
        </w:rPr>
        <w:t xml:space="preserve">Quelle: </w:t>
      </w:r>
      <w:r>
        <w:t>https://mcp.opencaselaw.ch/entscheid/bvger_E-3936_2019</w:t>
      </w:r>
    </w:p>
    <w:p>
      <w:r>
        <w:t>FR: TAF E-3936/2019 du 3 mars 2020</w:t>
      </w:r>
    </w:p>
    <w:p>
      <w:r>
        <w:t>IT: TAF E-3936/2019 del 3 marzo 2020</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 Im Ausländerrecht richtet sich die Kognition nach Art. 49 VwVG (vgl. BVGE 2014/26 E. 5).</w:t>
      </w:r>
    </w:p>
    <w:p>
      <w:r>
        <w:rPr>
          <w:b/>
        </w:rPr>
        <w:t>E. 4</w:t>
      </w:r>
    </w:p>
    <w:p>
      <w:r>
        <w:t>Der Beschwerdeführer macht geltend, aufgrund der Drohungen gegen ihn dränge sich wiedererwägungsweise eine erneute Beurteilung der Flüchtlingseigenschaft auf. Ein Wiedererwägungsgesuch respektive ein Mehrfachgesuch (vgl. BVGE 2014/39 E. 4.6) müsste bei der Vorinstanz eingereicht werden. Im Übrigen ist darauf hinzuweisen, dass die geltend gemachten Drohungen gegen den Beschwerdeführer bereits mit rechtskräftigem Urteil des Bundesverwaltungsgerichts E-1509/2019 vom 16. Mai 2019 als glaubhaft, jedoch als nicht asylrelevant eingestuft wurden.</w:t>
      </w:r>
    </w:p>
    <w:p>
      <w:r>
        <w:rPr>
          <w:b/>
        </w:rPr>
        <w:t>E. 5</w:t>
      </w:r>
    </w:p>
    <w:p>
      <w:r>
        <w:t>In der Beschwerde werden verschiedene formelle Rügen erhoben, die vorab zu beurteilen wären, da sie allenfalls geeignet sein könnten, eine Kassation der vorinstanzlichen Verfügung zu bewirken. Angesichts dessen, dass die materielle Prüfung zu Gunsten des Beschwerdeführers ausfällt und die angefochtene Verfügung aufgehoben wird, kann auf die Prüfung der formellen Rügen verzichtet werden.</w:t>
      </w:r>
    </w:p>
    <w:p>
      <w:r>
        <w:rPr>
          <w:b/>
        </w:rPr>
        <w:t>E. 6.1</w:t>
      </w:r>
    </w:p>
    <w:p>
      <w:r>
        <w:t>Gemäss Art. 44 AsylG verfügt das SEM in der Regel die Wegweisung aus der Schweiz, wenn es das Asylgesuch ablehnt oder nicht darauf eintritt. Die Wegweisung wird unter anderem dann nicht verfügt, wenn die asylsuchende Person im Besitz einer Aufenthalts- oder Niederlassungsbewilligung ist (Art. 32 Abs. 1 Bst. a der Asylverordnung 1 vom 11. August 1999 [AsylV 1, SR 142.311]), oder wenn ein potenzieller Anspruch auf Erteilung einer solchen besteht (vgl. BVGE 2013/37 E. 4.4; 2009/50 E. 9, je m.w.H.).</w:t>
      </w:r>
    </w:p>
    <w:p>
      <w:r>
        <w:rPr>
          <w:b/>
        </w:rPr>
        <w:t>E. 6.2</w:t>
      </w:r>
    </w:p>
    <w:p>
      <w:r>
        <w:t>Die Vorinstanz begründet die Zulässigkeit des Wegweisungsvollzugs damit, die Ehefrau des Beschwerdeführers verfüge in der Schweiz über eine jährlich zu erneuernde Aufenthaltsbewilligung B und damit nicht über ein gefestigtes Aufenthaltsrecht. Er könne sich somit nicht auf die Familieneinheit berufen. Der Beschwerdeführer bringt vor, seine Ehefrau halte sich seit dem 2. August 2008, somit mehr als zehn Jahre, in der Schweiz auf. Gemäss der jüngsten Rechtsprechung des Bundesgerichts sei nach einer rechtmässigen Aufenthaltsdauer von zehn Jahren grundsätzlich davon auszugehen, dass die sozialen Beziehungen in der Schweiz so eng geworden seien, dass es für eine Aufenthaltsbeendigung besonderer Gründe bedürfe und insofern ein bedingter Anspruch auf eine Aufenthaltsbewilligung bestehe (BGE 144 I 266; Urteil des BGer 2C_81/2018 vom 14. November 2018). Die Vorinstanz führt in ihrer Vernehmlassung aus, die Beschwerdeschrift enthalte keine neuen erheblichen Tatsachen oder Beweismittel. Die Ehefrau des Beschwerdeführers befinde sich seit ungefähr elf Jahren in der Schweiz und besitze die Aufenthaltsbewilligung B. Ihre leibliche Tochter verfüge seit Geburt über die Niederlassungsbewilligung C. Die Aufenthaltsbewilligung seiner Ehefrau sei vor kurzem bis zum 1. August 2020 verlängert worden. Beim nächsten Gesuch um Verlängerung der Aufenthaltsbewilligung werde der Fall neu geprüft. Auch wenn die Ehefrau über einen bedingten Bewilligungsanspruch verfügen würde, könne in Bezug auf das Gesuch um Familiennachzug des Beschwerdeführers festgehalten werden, dass die öffentlichen Interessen seinen privaten Interessen und seinem bisherigen Verhalten in der Schweiz bei der Entscheidfindung einander gegenübergestellt werden würden. In seiner Replik macht der Beschwerdeführer zusätzlich geltend, mit der kürzlich erfolgten Bewilligungsverlängerung gelte als erwiesen, dass seine Ehefrau alle Aufenthaltsvoraussetzungen erfülle. Sein Interesse am Verbleib bei seiner Ehefrau sei als hoch zu gewichten. Die Trennung des Ehepaares sei als unverhältnismässig zu qualifizieren.</w:t>
      </w:r>
    </w:p>
    <w:p>
      <w:r>
        <w:rPr>
          <w:b/>
        </w:rPr>
        <w:t>E. 6.3</w:t>
      </w:r>
    </w:p>
    <w:p>
      <w:r>
        <w:t>In Art. 14 Abs. 1 AsylG ist der sogenannte Grundsatz des Vorrangs des Asylverfahrens (gegenüber ausländerrechtlichen Verfahren) festgehalten.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und EMARK 2001 Nr. 21 E. 8d).</w:t>
      </w:r>
    </w:p>
    <w:p>
      <w:r>
        <w:rPr>
          <w:b/>
        </w:rPr>
        <w:t>E. 6.4</w:t>
      </w:r>
    </w:p>
    <w:p>
      <w:r>
        <w:t>Im Asyl- und Wegweisungsverfahren ist daher vorfrageweise zu prüfen, ob sich die asylsuchende Person auf einen grundsätzlichen Anspruch auf Erteilung einer Aufenthaltsbewilligung berufen kann. Als Anspruchsgrundlage fällt dabei unter anderem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nahe, echte und tatsächlich gelebte familiäre Beziehung vorliegt.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130 II 281, je m.w.H.; BVGE 2017 VII/4 E. 6.2). Auf den Schutz des Privat- und Familienlebens können sich in Ausnahmesituationen nach der Rechtsprechung des Europäischen Gerichtshofes für Menschenrechte (EGMR), des Bundesgerichts und des Bundesverwaltungsgerichts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und 137 I 113 E. 6.1 m.w.H.; vgl. zur Rechtsprechung des EGMR die Urteile Jeunesse gegen Niederlande vom 3. Oktober 2014, 12738/10, § 103 ff. m.w.H., Agraw gegen Schweiz vom 29. Juli 2010, 3295/06, § 44 ff. und Mengesha Kimfe gegen Schweiz vom 29. Juli 2010, 24404/05, § 61 ff.).</w:t>
      </w:r>
    </w:p>
    <w:p>
      <w:r>
        <w:rPr>
          <w:b/>
        </w:rPr>
        <w:t>E. 6.5</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diesfalls eine vom SEM verfügte Wegweisung auf (vgl. EMARK 2001 Nr. 21 E. 9a; ebenso BVGE 2013/37).</w:t>
      </w:r>
    </w:p>
    <w:p>
      <w:r>
        <w:rPr>
          <w:b/>
        </w:rPr>
        <w:t>E. 6.6</w:t>
      </w:r>
    </w:p>
    <w:p>
      <w:r>
        <w:t>Der Beschwerdeführer ist seit dem 15. April 2019 in der Schweiz mit einer albanischen Staatsangehörigen verheiratet, weshalb von einer gelebten familiären Beziehung auszugehen ist. Seine Ehefrau verfügt in der Schweiz über eine jährlich zu erneuende Aufenthaltsbewilligung B. Nach Art. 33 Abs. 3 AIG kann eine befristete Aufenthaltsbewilligung verlängert werden, wenn keine Widerrufsgründe nach Art. 62 Abs. 1 AIG vorliegen. Gemäss Rechtsprechung des Bundesgerichts kann die Niederlassungsbewilligung in der Regel nach zehnjährigem Aufenthalt erteilt werden, bei wichtigen Gründen auch nach einem kürzeren Aufenthalt. Auf die Erteilung der Niederlassungsbewilligung besteht jedoch kein Rechtsanspruch, denn aus dem Umstand, dass eine Bewilligung erteilt werden kann, kann nicht gefolgert werden, dass sie auch ohne Weiteres erteilt werden muss (BGE 144 I 266). Die Ehefrau des Beschwerdeführers hält sich seit dem 2. August 2008 und somit seit mehr als zehn Jahren in der Schweiz auf. Seit der letzten Verlängerung ihrer Aufenthaltsbewilligung B vom 12. Juli 2019 ist keine Veränderung ihrer Verhältnisse bekannt, was auf das Fehlen besonderer Widerrufsgründe hindeutet. Selbst die Vorinstanz stellt in ihrer Vernehmlassung fest, es lägen keine Widerrufsgründe vor. Hinzu kommt, dass das Anwesenheitsrecht der Ehefrau auf dem gefestigten Aufenthaltsrecht ihres Kindes in der Schweiz beruht. Unter Berücksichtigung sämtlicher Umstände ist deshalb davon auszugehen, dass die Ehefrau zumindest über ein faktisch gefestigtes Aufenthaltsrecht in der Schweiz verfügt. Der Beschwerdeführer kann somit einen Anspruch auf Achtung der Familieneinheit aus Art. 8 EMRK geltend machen. Er hat daher grundsätzlich einen Anspruch auf Erteilung einer Aufenthaltsbewilligung. Die Prüfung dieses Anspruchs fällt jedoch in die Zuständigkeit der kantonalen Behörden. Ein entsprechendes Gesuch wurde vom Beschwerdeführer am 26. April 2019 beim EMF der Stadt Bern eingereicht. Die angefochtene Verfügung ist folglich aufzuheben.</w:t>
      </w:r>
    </w:p>
    <w:p>
      <w:r>
        <w:rPr>
          <w:b/>
        </w:rPr>
        <w:t>E. 7</w:t>
      </w:r>
    </w:p>
    <w:p>
      <w:r>
        <w:t>Zusammenfassend ergibt sich, dass die Beschwerde gutzuheissen ist. Die verfügte Wegweisung und der Wegweisungsvollzug sind aufzuheben.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des Beschwerdeführers hat keine Kostennote eingereicht. Der Aufwand lässt sich allerdings aufgrund der Akten zuverlässig abschätzen (Art. 14 Abs. 2 VGKE). In Anwendung der massgeblichen Bemessungsfaktoren (vgl. Art. 8-11 VGKE) ist das Honorar auf Fr. 1'500.- (inkl. Auslagen) festzusetzen. Dieser Betrag ist RA Annina Mullis als Parteientschädigung zu Lasten der Vorinstanz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