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E-3935/2020 vom 12. August 2020</w:t>
      </w:r>
    </w:p>
    <w:p>
      <w:r>
        <w:t>Bundesverwaltungsgericht, 2020-08-12, DE</w:t>
      </w:r>
    </w:p>
    <w:p>
      <w:r>
        <w:rPr>
          <w:b/>
        </w:rPr>
        <w:t xml:space="preserve">Quelle: </w:t>
      </w:r>
      <w:r>
        <w:t>https://mcp.opencaselaw.ch/entscheid/bvger_E-3935_2020</w:t>
      </w:r>
    </w:p>
    <w:p>
      <w:r>
        <w:t>FR: TAF E-3935/2020 du 12 août 2020</w:t>
      </w:r>
    </w:p>
    <w:p>
      <w:r>
        <w:t>IT: TAF E-3935/2020 del 12 agosto 2020</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(vgl. Art. 83 Bst. d Ziff. 1 BGG; Art. 105 AsylG). Die Beschwerdeführenden sind als Verfügungsadressaten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Beschwerdeführenden liessen ihren Rechtsvertreter zur Begründung des Wiedererwägungs- respektive Folge-Asylgesuchs vom 3. Juni 2020 im Wesentlichen ausführen, sie seien schon mit dem Asylentscheid vom 19. September 2019 nicht einverstanden gewesen, ihr damaliger Rechtsvertreter (recte: die ihnen für das Asylverfahren zugewiesene amtliche Rechtsbeiständin) habe aber für sie keine Beschwerde beim Bundesverwaltungsgericht eingelegt. In der Folge seien sie aus dem E._______ einem Kanton der Ostschweiz zugewiesen worden, und als sie dort angekommen seien, sei die Beschwerdefrist bereits abgelaufen gewesen. Aus diesem Grund würden sie nun in ihrer neuen Eingabe erneut um Asyl nachsuchen. Mit dem Gesuch werde eine Vorladung der aserbaidschanischen Generalstaatsanwaltschaft für den Beschwerdeführer vom (...) 2019 zu den Akten gereicht, die ihnen über einen Freund zugestellt worden sei. Dieses Beweismittel belege, dass im Heimatstaat nach dem Beschwerdeführer 1 gefahndet und dieser politisch verfolgt werde.</w:t>
      </w:r>
    </w:p>
    <w:p>
      <w:r>
        <w:rPr>
          <w:b/>
        </w:rPr>
        <w:t>E. 5.2</w:t>
      </w:r>
    </w:p>
    <w:p>
      <w:r>
        <w:t>Nach Durchsicht der Akten ist zunächst festzustellen, dass das SEM im ursprünglichen Asylentscheid den Vorbringen der Beschwerdeführenden nicht die Glaubhaftigkeit abgesprochen, sondern sie als flüchtlingsrechtlich nicht relevant qualifiziert hatte (vgl. SEM-Verfügung vom 19. September 2019 S. 5 ff.).</w:t>
      </w:r>
    </w:p>
    <w:p>
      <w:r>
        <w:rPr>
          <w:b/>
        </w:rPr>
        <w:t>E. 5.3</w:t>
      </w:r>
    </w:p>
    <w:p>
      <w:r>
        <w:t>Soweit die Beschwerdeführenden das SEM in ihrem Folgegesuch vom 3. Juni 2020 zu einer abweichenden flüchtlingsrechtlichen Beurteilung ihrer ursprünglichen Asylgründe zu bewegen versuchen, verkennen sie offensichtlich, dass Wiedererwägungs- und Mehrfachgesuche im Asylverfahren nicht beliebig zulässig sind. Solche Eingaben dürfen nach Lehre und Praxis namentlich nicht dazu dienen, die Rechtskraft von Verwaltungsentscheiden immer wieder infrage zu stellen oder die Fristen für die Ergreifung von Rechtsmitteln zu umgehen (vgl. statt vieler etwa die Urteile BVGer E-1575/2020 vom 19. Mai 2020 E. 7.5, E-1190/2019 vom 9. Mai 2019 E. 6.2.5 oder E-2117/2019 vom 31. Mai 2019 E. 5.3, je m.w.H.). Sie stehen demnach auch nicht zur Verfügung, um einen Nachteil nachträglich zu beheben, den Betroffene - aus ihrer Sicht - durch das Nichtergreifen eines zur Verfügung stehenden Rechtsmittels erlitten haben.</w:t>
      </w:r>
    </w:p>
    <w:p>
      <w:r>
        <w:rPr>
          <w:b/>
        </w:rPr>
        <w:t>E. 5.4</w:t>
      </w:r>
    </w:p>
    <w:p>
      <w:r>
        <w:t>Inhaltlicher Gegenstand eines Asyl-Folgegesuchs können demnach nur Sachverhaltselemente bilden, die nach Eintritt der Rechtskraft des ordentlichen Asylentscheids entstanden sind. Das SEM hat demnach zutreffend festgestellt, dass eine inhaltliche Überprüfung respektive Neubeurteilung des rechtskräftigen ordentlichen Asylentscheids vom 19. September 2019 im Rahmen eines neuen Asylverfahrens nicht möglich ist (vgl. angefochtene Verfügung S. 3).</w:t>
      </w:r>
    </w:p>
    <w:p>
      <w:r>
        <w:rPr>
          <w:b/>
        </w:rPr>
        <w:t>E. 5.5</w:t>
      </w:r>
    </w:p>
    <w:p>
      <w:r>
        <w:t>Neben der impliziten Kritik am bisherigen Asylentscheid weisen die Beschwerdeführenden insbesondere auf eine Vorladung der aserbaidschanischen Generalstaatsanwaltschaft vom (...) 2019 hin; sie machen insoweit (auch) eine nachträgliche Veränderung der Sachlage geltend, die im vorliegenden Verfahren materiell zu beurteilen ist.</w:t>
      </w:r>
    </w:p>
    <w:p>
      <w:r>
        <w:rPr>
          <w:b/>
        </w:rPr>
        <w:t>E. 5.5.1</w:t>
      </w:r>
    </w:p>
    <w:p>
      <w:r>
        <w:t>Der deutschen Übersetzung dieses Dokuments ist nur zu entnehmen, dass der Beschwerdeführer aufgefordert wird, sich für eine Anhörung in einer Strafsache bei der Ermittlungsbehörde für (...) zu melden; dafür wird eine Telefonnummer für die Terminvereinbarung erwähnt und ausgeführt, im Säumnisfall sei mit einer polizeilichen Vorführung zu rechnen.</w:t>
      </w:r>
    </w:p>
    <w:p>
      <w:r>
        <w:rPr>
          <w:b/>
        </w:rPr>
        <w:t>E. 5.5.2</w:t>
      </w:r>
    </w:p>
    <w:p>
      <w:r>
        <w:t>Das Vorbringen, im aserbaidschanischen Kontext sei eine solche Einladung faktisch zwingend einem Haftbefehl gleichzusetzen (vgl. Beschwerde S. 6 f. und die Bestätigungen aus dem Umfeld der ALDP als Beschwerdebeilagen), vermag das Gericht nicht zu überzeugen. Dem Dokument ist weder zu entnehmen, worum es bei der darin erwähnten Straf-sache geht, noch in welcher Eigenschaft der Beschwerdeführer einvernommen werden soll. Im Übrigen darf unter Berücksichtigung der in Aserbaidschan herrschenden Verhältnisse angenommen werden, dass die Sicherheitsbehörden bei Bedarf durchaus auch Haftbefehle gegen politisch missliebige Bürger ausstellen, wenn sie diesen habhaft werden wollen.</w:t>
      </w:r>
    </w:p>
    <w:p>
      <w:r>
        <w:rPr>
          <w:b/>
        </w:rPr>
        <w:t>E. 5.5.3</w:t>
      </w:r>
    </w:p>
    <w:p>
      <w:r>
        <w:t>Die Vorinstanz hat diesem Beweismittel nach dem Gesagten zu Recht die flüchtlingsrechtliche Relevanz abgesprochen (vgl. angefochtene Verfügung S. 3).</w:t>
      </w:r>
    </w:p>
    <w:p>
      <w:r>
        <w:rPr>
          <w:b/>
        </w:rPr>
        <w:t>E. 5.6</w:t>
      </w:r>
    </w:p>
    <w:p>
      <w:r>
        <w:t>Die gleiche Qualifikation trifft das Bundesverwaltungsgericht für die beiden mit der Beschwerde eingereichten Bestätigungen aus dem Kreis der ALDP:</w:t>
      </w:r>
    </w:p>
    <w:p>
      <w:r>
        <w:rPr>
          <w:b/>
        </w:rPr>
        <w:t>E. 5.6.1</w:t>
      </w:r>
    </w:p>
    <w:p>
      <w:r>
        <w:t>Im Schreiben des (...) vom 28. Juli 2020 werden zunächst die zur Begründung des ersten Asylgesuchs vorgetragenen Umstände zusammenfassend wiedergegeben. Diesbezüglich kann auf das oben Gesagte verwiesen werden.</w:t>
      </w:r>
    </w:p>
    <w:p>
      <w:r>
        <w:rPr>
          <w:b/>
        </w:rPr>
        <w:t>E. 5.6.2</w:t>
      </w:r>
    </w:p>
    <w:p>
      <w:r>
        <w:t>Dann wird angegeben, die Partei sei nach der Ausreise der Beschwerdeführenden wiederholt nach dem Aufenthaltsort des Beschwerdeführers 1 befragt worden. Dies stellt indessen - für den gänzlich hypothetischen Fall der Rückkehr in das Heimatland (angesichts der vorläufigen Aufnahmen infolge Unzulässigkeit des Wegweisungsvollzugs) - offensichtlich noch kein schlüssiges Argument für die Annahme einer in absehbarer Zukunft mit beachtlicher Wahrscheinlichkeit drohende Verfolgung dar.</w:t>
      </w:r>
    </w:p>
    <w:p>
      <w:r>
        <w:rPr>
          <w:b/>
        </w:rPr>
        <w:t>E. 5.6.3</w:t>
      </w:r>
    </w:p>
    <w:p>
      <w:r>
        <w:t>Schliesslich wird ausgeführt, die Vorladung vom Dezember sei "der Beweis dafür, dass ein Strafverfahren gegen [den Beschwerdeführer] eingeleitet [worden sei] und er verhaftet [werde]. In Aserbaidschan komme "der Aufruf zum Verhör auf einer Polizeistation einer Verhaftung gleich" (die letztere Aussage deckt sich mit dem Inhalt der zweiten kurzen Bestätigung (...) vom 28. Juli 2020). Wie oben ausgeführt, ergibt sich aus dem Dokument indessen nicht einmal mit Sicherheit, dass der Beschwerdeführer überhaupt als Angeschuldigter in ein ihn betreffendes Verfahren verwickelt worden ist.</w:t>
      </w:r>
    </w:p>
    <w:p>
      <w:r>
        <w:rPr>
          <w:b/>
        </w:rPr>
        <w:t>E. 5.7</w:t>
      </w:r>
    </w:p>
    <w:p>
      <w:r>
        <w:t>Zusammenfassend ist festzustellen, dass das SEM zu Recht das Mehrfachgesuch der Beschwerdeführenden abgewiesen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w:t>
      </w:r>
    </w:p>
    <w:p>
      <w:r>
        <w:rPr>
          <w:b/>
        </w:rPr>
        <w:t>E. 7.2</w:t>
      </w:r>
    </w:p>
    <w:p>
      <w:r>
        <w:t>Nachdem die Beschwerdeführenden weiterhin vorläufig in der Schweiz aufgenommen sind, erübrigen sich praxisgemäss Ausführungen zur Frage des Vorliegens von (weiteren) Wegweisungsvollzugshindernissen.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Das Gesuch um Verzicht auf die Erhebung eines Kostenvorschusses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