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E-3918/2012 vom 5. Dezember 2013</w:t>
      </w:r>
    </w:p>
    <w:p>
      <w:r>
        <w:t>Bundesverwaltungsgericht, 2013-12-05, DE</w:t>
      </w:r>
    </w:p>
    <w:p>
      <w:r>
        <w:rPr>
          <w:b/>
        </w:rPr>
        <w:t xml:space="preserve">Quelle: </w:t>
      </w:r>
      <w:r>
        <w:t>https://mcp.opencaselaw.ch/entscheid/bvger_E-3918_2012</w:t>
      </w:r>
    </w:p>
    <w:p>
      <w:r>
        <w:t>FR: TAF E-3918/2012 du 5 décembre 2013</w:t>
      </w:r>
    </w:p>
    <w:p>
      <w:r>
        <w:t>IT: TAF E-3918/2012 del 5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Die Begründung der Beschwerdeanträge bindet das Bundesverwaltungsgericht nicht, und es kann die Beschwerde auch aus anderen als den geltend gemachten Gründen gutheissen oder den angefochtenen Entscheid im Ergebnis mit einer von jener der Vorinstanz abweichenden Begründung bestätigen (vgl. Art. 62 Abs. 4 VwVG).</w:t>
      </w:r>
    </w:p>
    <w:p>
      <w:r>
        <w:rPr>
          <w:b/>
        </w:rPr>
        <w:t>E. 3.1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(vgl. Medienmitteilungen des BFM vom 3. Oktober 2013 und 4. September 2013). Die Vorinstanz geht damit selbst davon aus, dass der Sachverhalt, wie er der Verfügung vom 12. Juni 2012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3.2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Fehlende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vom 4. Oktober 2012 E. 4.6 S. 8). Die vorliegend notwendigen Abklärungen stellen eine relativ aufwändige und umfangreiche Beweiserhebung dar, weshalb die Kassation der angefochtenen Verfügung angezeigt ist.</w:t>
      </w:r>
    </w:p>
    <w:p>
      <w:r>
        <w:rPr>
          <w:b/>
        </w:rPr>
        <w:t>E. 3.3</w:t>
      </w:r>
    </w:p>
    <w:p>
      <w:r>
        <w:t>Die Beschwerde ist demnach insoweit gutzuheissen. Die angefochtene Verfügung ist aufzuheben, die Sache ist zur vollständigen Sachverhaltsfeststellung sowie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der Beschwerdeführerin ist bei diesem Verfahrensgang nicht weiter einzugehen.</w:t>
      </w:r>
    </w:p>
    <w:p>
      <w:r>
        <w:rPr>
          <w:b/>
        </w:rPr>
        <w:t>E. 3.4</w:t>
      </w:r>
    </w:p>
    <w:p>
      <w:r>
        <w:t>Über das beim Bundesverwaltungsgericht hängige Beschwerdeverfahren des Ehemannes der Beschwerdeführerin (E-5496/2011) wird im Sinn der Koordination der Verfahren mit heutigem separatem Urteil des gleichen Spruchkörpers ebenfalls entschieden.</w:t>
      </w:r>
    </w:p>
    <w:p>
      <w:r>
        <w:rPr>
          <w:b/>
        </w:rPr>
        <w:t>E. 4.1</w:t>
      </w:r>
    </w:p>
    <w:p>
      <w:r>
        <w:t>Bei diesem Ausgang des Verfahrens sind keine Kosten zu erheben (Art. 63 Abs. 1 und 2 VwVG.</w:t>
      </w:r>
    </w:p>
    <w:p>
      <w:r>
        <w:rPr>
          <w:b/>
        </w:rPr>
        <w:t>E. 4.2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Kostennote vom 5. Dezember 2012 wird (bereits für den damaligen Zeitpunkt) ein Vertretungsaufwand von 19 Honorarstunden ausgewiesen, der als den konkreten Verfahrensverhältnissen nicht angemessen respektive als teilweise nicht notwendig im Sinn von Art. 64 Abs. 1 VwVG erscheint. Die Parteientschädigung wird unter Berücksichtigung der massgebenden Bemessungsfaktoren (vgl. Art. 7 ff. VGKE) auf insgesamt Fr. 2000.- (inklusive sämtlicher Auslangen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