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E-3917/2019 vom 9. Oktober 2019</w:t>
      </w:r>
    </w:p>
    <w:p>
      <w:r>
        <w:t>Bundesverwaltungsgericht, 2019-10-09, DE</w:t>
      </w:r>
    </w:p>
    <w:p>
      <w:r>
        <w:rPr>
          <w:b/>
        </w:rPr>
        <w:t xml:space="preserve">Quelle: </w:t>
      </w:r>
      <w:r>
        <w:t>https://mcp.opencaselaw.ch/entscheid/bvger_E-3917_2019</w:t>
      </w:r>
    </w:p>
    <w:p>
      <w:r>
        <w:t>FR: TAF E-3917/2019 du 9 octobre 2019</w:t>
      </w:r>
    </w:p>
    <w:p>
      <w:r>
        <w:t>IT: TAF E-3917/2019 del 9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Das Gesuch um Verzicht auf die Erhebung eines Kostenvorschusses wird mit dem vorliegenden, instruktionslos ergehenden Direktentscheid in der Sache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des Entscheides (vgl. BVGE 2012/21 E. 5.1, 2011/1 E. 2). Der mit Grundrechtsqualität ausgestattete Grundsatz des rechtlichen Gehörs fordert, dass die verfügende Behörde die Vorbringen der Betroffenen tatsächlich hört, sorgfältig und ernsthaft prüft und in der Entscheidfindung berücksichtigt, was sich entsprechend in einer sachgerecht anfechtbaren Entscheidbegründung niederzuschlagen hat (Art. 29 Abs. 2 BV; Art. 29, Art. 32 Abs. 1 und Art. 35 Abs. 1 VwVG; EMARK 2004 Nr. 38 E. 6.3 und 2006 Nr. 24 E. 5.1). Dem Bundesverwaltungsgericht obliegt gemäss Art. 49 Bst. b VwVG (beziehungsweise Art. 106 Abs. 1 Bst. b AsylG) eine umfassende Sachverhaltskontrolle (vgl. Moser/Beusch/Kneubühler, Prozessieren vor dem Bundesverwaltungsgericht, 2. Aufl. 2013, Rz. 2.188). Ermittelt das Bundesverwaltungsgericht eine fehler- oder lückenhafte Feststellung des Sachverhalts, hebt es die Verfügung auf und weist die Sache an die Vorinstanz zurück, damit diese den rechtserheblichen Sachverhalt neu und vollständig feststellt (vgl. Moser/Beusch/Kneubühler, a.a.O., Rz. 2.191; Kölz/Häner/Bertschi, Verwaltungsverfahren und Verwaltungsrechtspflege des Bundes; 3. Aufl. 2013, Rz. 1155). Der Untersuchungsgrundsatz gehört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32 Abs. 1 VwVG würdigt die Behörde, bevor sie verfügt, alle erheblichen und rechtzeitigen Vorbringen der Partei. Gemäss Art. 33 Abs. 1 VwVG nimmt sie ferner die ihr angebotenen Beweise ab, wenn diese zur Abklärung des Sachverhalts tauglich erscheinen.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Eine allfällige Einschränkung des Akteneinsichtsrechts gegenüber dem um Einsicht Ersuchenden ist grundsätzlich zulässig, muss aber nach Art. 27 VwVG konkret begründet sein und sich im Rahmen der Verhältnismässigkeitsprüfung auf das Erforderliche beschränken.</w:t>
      </w:r>
    </w:p>
    <w:p>
      <w:r>
        <w:rPr>
          <w:b/>
        </w:rPr>
        <w:t>E. 4.2</w:t>
      </w:r>
    </w:p>
    <w:p>
      <w:r>
        <w:t>Das Bundesverwaltungsgericht erachtet die genannten Grundsätze vorliegend im Rahmen seiner über das Rügeprinzip hinausgehenden Prüfungsbefugnis von Amtes wegen in mehrfacher Hinsicht verletzt:</w:t>
      </w:r>
    </w:p>
    <w:p>
      <w:r>
        <w:rPr>
          <w:b/>
        </w:rPr>
        <w:t>E. 4.2.1</w:t>
      </w:r>
    </w:p>
    <w:p>
      <w:r>
        <w:t>Der Beschwerdeführer hat mit Begleitschreiben vom 14. September 2016 Kopien von Beweismitteln eingereicht und für den Bedarfsfall die Nachreichung der Originale anerboten (vgl. die aus einem einzigen Blatt bestehende und nur vorderseitig beschriftete vorinstanzliche Akte A10). Diese Dokumente werden im Schreiben weder in ihrer Art noch in der Anzahl spezifiziert, sondern es wird dort bloss «Beilagen erwähnt» vermerkt. Aus dem wahrscheinlich vom SEM handschriftlich angebrachten Haken hinter dem Vermerk «Beilagen erwähnt» lässt sich entnehmen, dass die Postsendung tatsächlich Dokumente enthalten hat und das SEM diese Beweismittel abgenommen hat. Weshalb die fraglichen Kopien nicht an das Aktenstück A10 angeheftet wurden, lässt sich nicht eruieren. Im Beweismittelcouvert können sie sich deshalb nicht befinden, weil dort nur Dokumente ab Einreichungsdatum 17. Juli 2018 abgelegt sind (vgl. A17). In der Sichttasche des N-Dossiers wiederum befinden sich nur Originaldokumente. Für das Bundesverwaltungsgericht ist nun nicht ersichtlich, um was für Dokumente es sich bei der Sendung vom 14. September 2016 handelt, wo das SEM sie abgelegt hat und ob sie überhaupt zu den Akten genommen wurden.</w:t>
      </w:r>
    </w:p>
    <w:p>
      <w:r>
        <w:rPr>
          <w:b/>
        </w:rPr>
        <w:t>E. 4.2.2</w:t>
      </w:r>
    </w:p>
    <w:p>
      <w:r>
        <w:t>Im Weiteren hat der Beschwerdeführer mit Eingabe vom 7. Mai 2019 via seinen damaligen Rechtsvertreter Übersetzungen «der Schreiben» eingereicht, «die ich Ihnen bereits vorgängig in tamilischer und singhalesischer Sprache einreichte» (vgl. die wiederum einblättrige und nur vorderseitig beschriftete Akte A27). Unter «Beilagen» werden dort «3 Übersetzungen» erwähnt (und wiederum mit einem handschriftlichen Haken quittiert). Tatsächlich wurden mit vorgängiger Eingabe vom 29. April 2019 (A25) je ein Brief des Vaters und der Mutter des Beschwerdeführers in Kopie eingereicht und die Nachreichung der Originale und der Übersetzungen zeitnah in Aussicht gestellt. Auf dem Beweismittelcouvert erscheint unter der Nummer 9 der Vermerk «Schreiben der Eltern des GS inkl. Übersetzung» mit Einreichungsdatum 29. April 2019; im Couvert selber sind die beiden Schreiben in Kopie und je mit deutschen Übersetzungen abgelegt. Für das Bundesverwaltungsgericht ist nun nicht klar, weshalb die Übersetzungen mit dem Einreichungsdatum 29. April 2019 (statt 7. Mai 2019) vermerkt sind, ob jemals Originale der beiden Schreiben eingereicht wurden und welche weitere Übersetzung als dritte Beilage zum Schreiben vom 7. Mai 2019 (A27) beim SEM einging. Möglicherweise handelt es sich bei dieser dritten Beilage um die Übersetzung einer Polizeivorladung, die auf dem Beweismittel-Couvert unter der Nummer 10 mit Einreichungsdatum 10. Mai 2019 vermerkt ist. Ob es sich dabei um das Einreichungsdatum oder das Datum des Posteingangs beim SEM handelt und ob zuvor bereits ein Original der Vorladung eingereicht wurde, ist für das Bundesverwaltungsgericht aber nicht schlüssig ersichtlich. Der Hinweis in der angefochtenen Verfügung auf S. 5 oben, wonach aus den Akten nicht hervorgehe, dass das Original eingereicht worden sei, lässt sich für das Bundesverwaltungsgericht somit nicht verifizieren, zumal den Akten auch keine entsprechende Aktennotiz oder eine Nachfrage beim damaligen Rechtsvertreter zu entnehmen ist. Aus dem bisher Erwogenen (E. 4.2.1 und 4.2.2) lässt sich unschwer erkennen, dass das SEM gut beraten ist, wenn es Eingaben mitsamt den Beilagen und dem Zustellcouvert kompakt zusammenhält oder - falls Beilagen dennoch separiert in den Akten abgelegt werden sollen - zumindest Kopien erstellt und sie zusammen mit dem Begleitschreiben chronologisch korrekt und unter Hinweis auf den Ort der Originalablage ablegt.</w:t>
      </w:r>
    </w:p>
    <w:p>
      <w:r>
        <w:rPr>
          <w:b/>
        </w:rPr>
        <w:t>E. 4.2.3</w:t>
      </w:r>
    </w:p>
    <w:p>
      <w:r>
        <w:t>Der Beschwerdeführer hat zusammen mit dem angefochtenen Entscheid Einsicht in die «editionspflichtigen Akten inkl. Kopie des Aktenverzeichnisses» erhalten. Die von ihm in der Folge neu mandatierte Rechtsvertreterin hat am 12. Juli 2019 beim SEM Akteneinsicht in «sämtliche Unterlagen» und insbesondere in «alle eingereichten Beweismittel» ersucht. Mit Begleitschreiben des SEM vom 16. Juli 2019 wurde die Akteneinsicht - soweit nicht die Editionsklassen A (Geheimhaltungsinteressen), B (interne Akten) und C (Akten anderer Behörden) betreffend - nochmals gewährt, unter Hinweis jedoch, dass auf die Zustellung unwesentlicher oder bereits bekannter Akten verzichtet werde, vorbehältlich einer umgehenden Gegenreaktion des Beschwerdeführers. Dieser letztere Hinweis ist - unbesehen der ungeklärten Frage, ob Code D- und Code E-Akten am 16. Juli 2019 vom SEM nun tatsächlich zur Einsicht gegeben wurden oder nicht - angesichts des unmissverständlichen Akteneinsichtsgesuchs vom 12. Juli 2019 nicht korrekt: Gemäss Art. 27 Abs. 3 VwVG darf insbesondere die Einsichtnahme in eigene Eingaben einer Partei und in ihre als Beweismittel eingereichten Urkunden nicht verweigert werden. Die vorinstanzliche Praxis, der gesuchstellenden Person ihr bekannte Akten nur auf entsprechendes Gesuch hin zugänglich zu machen (vgl. auch Textwortlaut zu Code E im Aktenverzeichnis des SEM), mag aus ökonomischer und ökologischer Sicht sinnvoll erscheinen, indessen erweist sie sich in Fällen wie dem vorliegenden, in denen gerade ausdrücklich um vollständige Akteneinsicht inklusive in eingereichte Beweismittel ersucht wurde, als nicht rechtskonform (vgl. dazu die analoge Konstellation gemäss Urteil E-5374/2017 vom 8. November 2017 E. 6.3.5 f., m.w.H.). Für das Bundesverwaltungsgericht ist nun nicht klar, welche Akten konkret zur Einsicht gegeben wurden und welche nicht, und ob insbesondere die Beweismittel gemäss Beweismittelcouvert zugestellt wurden oder nur das Beweismittelverzeichnis der Akten A17.</w:t>
      </w:r>
    </w:p>
    <w:p>
      <w:r>
        <w:rPr>
          <w:b/>
        </w:rPr>
        <w:t>E. 4.2.4</w:t>
      </w:r>
    </w:p>
    <w:p>
      <w:r>
        <w:t>Sodann fällt auf, dass in Missachtung der Aktenführungspflicht sowohl die Paginierung als auch die Registrierung der Akten mit dem Eingang der Akte A27 (Eingabe des Rechtsvertreters vom 7. Mai 2019) abgeschlossen und nicht weitergeführt wurden, obwohl am 16. Juli 2019 noch Akteneinsicht gewährt wurde und zwischenzeitlich Akten hinzugekommen sind.</w:t>
      </w:r>
    </w:p>
    <w:p>
      <w:r>
        <w:rPr>
          <w:b/>
        </w:rPr>
        <w:t>E. 4.2.5</w:t>
      </w:r>
    </w:p>
    <w:p>
      <w:r>
        <w:t>Im Weiteren ist festzustellen, dass der Botschaftsbericht vom 13. November 2018 im Original und unter Anheftung eines Zeitungsartikels bei den Akten liegt (A19). Am 27. März 2019 erhielt der Beschwerdeführer das rechtliche Gehör zu diesem Bericht, welcher ihm zusammen mit der Botschaftsanfrage in abgedeckter Form (infolge Geheimhaltungsinteressen) offengelegt wurde (vgl. A20). In den Akten findet sich aber weder der Bericht noch die Anfrage in abgedeckter Form; auch im Aktenverzeichnis sind solche nicht zu finden. Für das Gericht ist es aber bedeutsam zu wissen, welche Teile der beiden Dokumente dem Beschwerdeführer offengelegt wurden und welche nicht, denn mittelbar beschlägt diese Frage auch dessen Anspruch auf Wahrung des rechtlichen Gehörs (vgl. oben E. 4.1).</w:t>
      </w:r>
    </w:p>
    <w:p>
      <w:r>
        <w:rPr>
          <w:b/>
        </w:rPr>
        <w:t>E. 4.3</w:t>
      </w:r>
    </w:p>
    <w:p>
      <w:r>
        <w:t>Zusammenfassend ist festzustellen, dass das SEM den Anspruch der Beschwerdeführenden auf rechtliches Gehör in verschiedenen Erscheinungsformen (insb. betreffend Aktenführung, Akteneinsicht und Beweisabnahme) verletzt hat und das Bundesverwaltungsgericht aufgrund dessen im vorliegenden Fall nicht beurteilen kann, ob der Sachverhalt vollständig und korrekt festgestellt worden ist. Gemäss Art. 61 Abs. 1 VwVG entscheidet das Bundesverwaltungsgericht in der Sache selbst oder weist diese ausnahmsweise mit verbindlichen Weisungen an die Vorinstanz zurück.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zum Ganzen BVGE 2015/10 E. 7.1 m.w.H.). Diese Kassationsvoraussetzungen sind vorliegend erfüllt, weshalb eine Heilung auf Beschwerdestufe nicht in Betracht fällt. Das SEM ist im Rahmen des wiederaufzunehmenden erstinstanzlichen Verfahrens gehalten, die oben erkannten Mängel (vgl. E. 4.2) in geeigneter Form zu beheben sowie darauf basierend den Sachverhalt vollständig und richtig festzustellen und das Asylgesuch neu zu beurteilen.</w:t>
      </w:r>
    </w:p>
    <w:p>
      <w:r>
        <w:rPr>
          <w:b/>
        </w:rPr>
        <w:t>E. 5</w:t>
      </w:r>
    </w:p>
    <w:p>
      <w:r>
        <w:t>Aus diesen Erwägungen ergibt sich, dass die Verfügung des SEM vom 2. Juli 2019 Bundesrecht verletzt und den rechtserheblichen Sachverhalt nicht vollständig feststellt (Art. 106 Abs. 1 AsylG). Die Verfügung ist daher aufzuheben und die Beschwerde insoweit gutzuheissen. Die Sache ist zur Behebung der erwähnten Mängel und zur Neubeurteilung an die Vor-instanz zurückzuweisen. Es erübrigt sich mithin, auf den weiteren Inhalt der Beschwerde näher einzugehen. Die Beschwerde ist mitsamt der als Beweismittel beigelegten Vorladung («Message Form» vom 18. Mai 2019 im Original mit englischer Übersetzung) dem SEM im Hinblick auf die Wiederaufnahme des erstinstanzlichen Verfahrens zur Kenntnis zu bringen.</w:t>
      </w:r>
    </w:p>
    <w:p>
      <w:r>
        <w:rPr>
          <w:b/>
        </w:rPr>
        <w:t>E. 6</w:t>
      </w:r>
    </w:p>
    <w:p>
      <w:r>
        <w:t>Bei diesem Ausgang des Verfahrens sind keine Kosten zu erheben (Art. 63 Abs. 1 und 2 VwVG). Das Gesuch um Gewährung der unentgeltlichen Rechtspflege (vgl. Art. 65 Abs. 1 VwVG) wird somit hinfällig. Dies gilt auch für den Antrag auf Beiordnung eines amtlichen Rechtsbeistandes. Der Beschwerdeführer hat angesichts seines Obsiegens im Kassationsantrag in Anwendung von Art. 64 VwVG und Art. 7 des Reglements vom 21. Februar 2008 über die Kosten und Entschädigungen vor dem Bundesverwaltungsgericht (VGKE, SR 173.320.2) grundsätzlich Anspruch auf eine Entschädigung für die ihm notwendigerweise erwachsenen und verhältnismässig hohen Parteikosten. Er ist jedoch auf Beschwerdestufe nicht rechtsvertreten und es sind auch keine anderen verhältnismässig hohen Kosten ersichtlich, die ihm durch die Beschwerdeführung entstanden sein könnten. Zudem ist zu berücksichtigen, dass das vorliegende Kassationsurteil nicht durch den Inhalt der Beschwerde, sondern durch eine Rechtsanwendung von Amtes wegen ausgelöst wurde. Somit besteht kein Anlass zur Ausrichtung einer Parteientschädigung.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