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E-3913/2020 vom 1. September 2020</w:t>
      </w:r>
    </w:p>
    <w:p>
      <w:r>
        <w:t>Bundesverwaltungsgericht, 2020-09-01, DE</w:t>
      </w:r>
    </w:p>
    <w:p>
      <w:r>
        <w:rPr>
          <w:b/>
        </w:rPr>
        <w:t xml:space="preserve">Quelle: </w:t>
      </w:r>
      <w:r>
        <w:t>https://mcp.opencaselaw.ch/entscheid/bvger_E-3913_2020</w:t>
      </w:r>
    </w:p>
    <w:p>
      <w:r>
        <w:t>FR: TAF E-3913/2020 du 1 septembre 2020</w:t>
      </w:r>
    </w:p>
    <w:p>
      <w:r>
        <w:t>IT: TAF E-3913/2020 del 1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 Vorliegend ist die Vorinstanz wegen Nichtleistens des Gebührenvorschusses nicht auf das Wiedererwägungsgesuch eingetreten. Der Beschwerdeführer stellte kein Rechtsbegehren auf Aufhebung der Zwischenverfügung vom 7. Juli 2020. Auch der Begründung seiner Beschwerde ist nur zu entnehmen, die Vorinstanz habe formelles Recht verletzt, weil sie ihn weder angehört noch einen ausführlichen Arztbericht verlangt habe. Folglich ist die Frage, ob der Gebührenvorschuss zu Recht erhoben worden ist, nicht Gegenstand des vorliegenden Verfahrens. Es ist einzig zu prüfen, ob die besagte Zwischenverfügung dem Beschwerdeführer korrekt eröffnet worden ist.</w:t>
      </w:r>
    </w:p>
    <w:p>
      <w:r>
        <w:rPr>
          <w:b/>
        </w:rPr>
        <w:t>E. 4.1</w:t>
      </w:r>
    </w:p>
    <w:p>
      <w:r>
        <w:t>Der Beschwerdeführer bringt vor, die Vorinstanz habe angeblich mit Zwischenverfügung vom 7. Juli 2020 die Aussichtslosigkeit des Wiedererwägungsgesuchs begründet und einen Gebührenvorschuss erhoben. Diese Zwischenverfügung habe er nicht erhalten.</w:t>
      </w:r>
    </w:p>
    <w:p>
      <w:r>
        <w:rPr>
          <w:b/>
        </w:rPr>
        <w:t>E. 4.2</w:t>
      </w:r>
    </w:p>
    <w:p>
      <w:r>
        <w:t>Das SEM erhebt eine Gebühr, sofern es ein Wiedererwägungsgesuch ablehnt oder darauf nicht eintritt (Art. 111d Abs. 1 AsylG). Das SEM kann von der gesuchstellenden Person einen Gebührenvorschuss in der Höhe der mutmasslichen Verfahrenskosten verlangen. Zu dessen Leistung setzt es unter Androhung des Nichteintretens eine angemessene Frist. Auf die Erhebung eines Gebührenvorschusses wird unter anderem verzichtet, wenn die gesuchstellende Person bedürftig ist und ihre Begehren nicht von vornherein aussichtslos erscheinen (Art. 111d Abs. 2 und Abs. 3 Bst. a AsylG).</w:t>
      </w:r>
    </w:p>
    <w:p>
      <w:r>
        <w:rPr>
          <w:b/>
        </w:rPr>
        <w:t>E. 4.3</w:t>
      </w:r>
    </w:p>
    <w:p>
      <w:r>
        <w:t>Die Vorinstanz erhob mit Zwischenverfügung vom 7. Juli 2020 einen Gebührenvorschuss von Fr. 600.- unter Androhung des Nichteintretens bei nicht fristgerechter Bezahlung. In den vorinstanzlichen Akten findet sich im Anschluss an die Zwischenverfügung ein Rückschein (SEM-Akten, act. [...]). Der Rückschein wurde A. Mwanza von Migrant ARC-EN-CIEL zugestellt. Unter der Rubrik "Datum und Unterschrift" steht handschriftlich "9.7.2020". Der ausgefüllte Rückschein wurde ans SEM zurückgesandt. Die Zwischenverfügung vom 7. Juli 2020 wurde somit der Rechtsvertretung des Beschwerdeführers korrekt eröffnet. Nach Nichtleistung des Gebührenvorschusses trat die Vorinstanz korrekterweise nicht auf das Wiedererwägungsgesuch ein. Die Beschwerde ist somit abzuweisen.</w:t>
      </w:r>
    </w:p>
    <w:p>
      <w:r>
        <w:rPr>
          <w:b/>
        </w:rPr>
        <w:t>E. 5.1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5.2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6</w:t>
      </w:r>
    </w:p>
    <w:p>
      <w:r>
        <w:t>Mit dem vorliegenden Urteil fällt der am 20. Juli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