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E-3913/2012 vom 19. November 2012</w:t>
      </w:r>
    </w:p>
    <w:p>
      <w:r>
        <w:t>Bundesverwaltungsgericht, 2012-11-19, DE</w:t>
      </w:r>
    </w:p>
    <w:p>
      <w:r>
        <w:rPr>
          <w:b/>
        </w:rPr>
        <w:t xml:space="preserve">Quelle: </w:t>
      </w:r>
      <w:r>
        <w:t>https://mcp.opencaselaw.ch/entscheid/bvger_E-3913_2012</w:t>
      </w:r>
    </w:p>
    <w:p>
      <w:r>
        <w:t>FR: TAF E-3913/2012 du 19 novembre 2012</w:t>
      </w:r>
    </w:p>
    <w:p>
      <w:r>
        <w:t>IT: TAF E-3913/2012 del 19 novembre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1.2</w:t>
      </w:r>
    </w:p>
    <w:p>
      <w:r>
        <w:t>Soweit der Beschwerdeführer Anträge zum Verfahren stellt - Wiederherstellung der aufschiebenden Wirkung, vorsorgliche Anweisung der zu-ständigen Behörde, die Kontaktaufnahme mit den Behörden des Heimat- und Herkunftsstaats sowie jegliche Datenweitergabe an dieselben zu unterlassen sowie (eventualiter) bei bereits erfolgter Datenweitergabe dar-über in einer separaten Verfügung informiert zu werden -, so ist die Beschwerde mangelhaft, weil es an einer Begründung fehlt (Art. 52 Abs. 1 VwVG). Eine Rückweisung zur Verbesserung des Mangels (Art. 52 Abs. 2 VwVG) kann unterbleiben, weil die verfahrensrechtlichen Anträge mit dem vorliegenden Endentscheid gegenstandslos werden.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 mit summarischer Begründung zu behandeln (Art. 111a Abs. 1 und 2 AsylG).</w:t>
      </w:r>
    </w:p>
    <w:p>
      <w:r>
        <w:rPr>
          <w:b/>
        </w:rPr>
        <w:t>E. 3.1</w:t>
      </w:r>
    </w:p>
    <w:p>
      <w:r>
        <w:t>Gemäss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Eine asylsuchende Person erfüllt die Flüchtlingseigenschaft nach Art. 3 AsylG, wenn sie Nachteile von bestimmter Intensität erlitten hat beziehungsweise solche mit beachtlicher Wahrscheinlichkeit und in absehbarer Zukunft begründeterweise befürchten muss. Es müssen Nachteile sein, die ihr gezielt und aufgrund bestimmter Verfolgungsmotive durch Organe des Heimatstaates oder durch nichtstaatliche Akteure zugefügt worden sind oder drohen (vgl. BVGE 2008/4 E. 5.2). Begründete Furcht vor drohender Verfolgung liegt vor, wenn konkreter Anlass zur Annahme besteht, eine Verfolgung hätte sich mit beachtlicher Wahrscheinlichkeit und in absehbarer Zeit verwirklicht oder werde sich mit ebensolcher Wahrscheinlichkeit in absehbarer Zukunft verwirklichen. Eine bloss entfernte Möglichkeit künftiger Verfolgung genügt nicht; es müssen konkrete Indizien vorliegen, welche den Eintritt der erwarteten Benachteiligung als wahrscheinlich und dementsprechend die Furcht davor als realistisch und nachvollziehbar erscheinen lassen (vgl. BVGE 2010/57 E. 2.5, BVGE 2010/44 E. 3.4).</w:t>
      </w:r>
    </w:p>
    <w:p>
      <w:r>
        <w:rPr>
          <w:b/>
        </w:rPr>
        <w:t>E. 3.2</w:t>
      </w:r>
    </w:p>
    <w:p>
      <w:r>
        <w:t>Der Beschwerdeführer macht geltend, dass er aus wirtschaftlichen Gründen ausgereist sei, er habe keinerlei Probleme mit der Regierung gehabt und sei auch nicht verfolgt worden. Es liegt somit offensichtlich keine Verfolgungssituation vor. Die Vorinstanz hat zutreffend erkannt, dass dem Beschwerdeführer die Flüchtlingseigenschaft nicht zukommt, und sein Asylgesuch zu Recht abgelehnt.</w:t>
      </w:r>
    </w:p>
    <w:p>
      <w:r>
        <w:rPr>
          <w:b/>
        </w:rPr>
        <w:t>E. 4</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Das Bundesamt hat die Anordnung der Wegweisung zu Recht verfügt.</w:t>
      </w:r>
    </w:p>
    <w:p>
      <w:r>
        <w:rPr>
          <w:b/>
        </w:rPr>
        <w:t>E. 5.1</w:t>
      </w:r>
    </w:p>
    <w:p>
      <w:r>
        <w:t>Gemäss Art. 44 Abs. 2 AsylG regelt das Bundesamt das Anwesen-heitsverhältnis nach den gesetzlichen Bestimmungen über die vorläufige Aufnahme nach dem Bundesgesetz vom 16. Dezember 2005 über die Ausländerinnen und Ausländer (AuG, SR 142.20), wenn der Vollzug der Wegweisung nicht zulässig, nicht zumutbar oder nicht möglich ist.</w:t>
      </w:r>
    </w:p>
    <w:p>
      <w:r>
        <w:rPr>
          <w:b/>
        </w:rPr>
        <w:t>E. 5.2</w:t>
      </w:r>
    </w:p>
    <w:p>
      <w:r>
        <w:t>Die Beweislast für das Vorliegen eines Wegweisungsvollzugshinder-nisse trägt, wer ein solches geltend macht. Nach ständiger Praxis und Lehre gilt der gleiche Beweisstandard wie bei der Flüchtlingseigenschaft, das heisst, Vollzugshindernisse sind zu beweisen, wenn der strikte Beweis möglich ist, und andernfalls wenigstens glaubhaft zu machen (siehe etwa Urteil des Bundesverwaltungsgericht vom 30. November 2011 E-1235/2011, E. 6.1; WALTER STÖCKLI, Asyl, in: Uebersax/Rudin/Hugi Yar/Geiser [Hrsg.], Ausländerrecht, 2. Aufl., Basel 2009, Rz. 11.148).</w:t>
      </w:r>
    </w:p>
    <w:p>
      <w:r>
        <w:rPr>
          <w:b/>
        </w:rPr>
        <w:t>E. 5.3</w:t>
      </w:r>
    </w:p>
    <w:p>
      <w:r>
        <w:t>Der Vollzug ist zulässig, wenn keine völkerrechtliche Verpflichtung der Schweiz einer Weiterreise des Ausländers entgegensteht (Art. 83 Abs. 3 AuG) und zumutbar, wenn festgestellt wird, dass der Ausländer dadurch nicht konkret gefährdet ist (Art. 83 Abs. 4 AuG). Weder den Akten noch den Aussagen des Beschwerdeführers Anhaltspunkte dafür zu entnehmen, dass der Wegweisungsvollzugs unzulässig oder unzumutbar sein könnte. Nach seinen Angaben soll er in Algerien geboren, aber in Tunesien aufgewachsen sein. Er hat indes bis zum heutigen Zeitpunkt keine Dokumente eingereicht, die seine Identität oder Staatsangehörigkeit belegen würden. Dies, obwohl er mehrfach zur Einreichung aufgefordert wurde, und er seit seiner Einreise im Januar 2012 genügend Zeit dazu gehabt hätte. Aufgrund der unklaren Herkunft und Identität ist eine nähere Prüfung weder möglich noch erforderlich. Denn der Untersuchungsgrundsatz findet seine Grenze an der Mitwirkungspflicht des Beschwerdeführers (Art. 8 AsylG), der verpflichtet gewesen wäre, seine Identität offen zu legen sowie Reise- und Identitätspapiere abzugeben, was er unterlassen hat. Infolge seiner Pflichtverletzung sind die Asylbehörden gar nicht in der Lage, allfällige Wegweisungsvollzugshindernisse näher zu prüfen, womit sie beweislos bleiben. Die Folgen der Beweislosigkeit hat der Beschwerdeführer zu tragen.</w:t>
      </w:r>
    </w:p>
    <w:p>
      <w:r>
        <w:rPr>
          <w:b/>
        </w:rPr>
        <w:t>E. 5.4</w:t>
      </w:r>
    </w:p>
    <w:p>
      <w:r>
        <w:t>Der Vollzug ist als möglich zu bezeichnen (Art. 83 Abs. 2 AuG), weil es dem Beschwerdeführer obliegt, sich bei der zuständigen Vertretung des Heimatstaates die für eine Rückkehr notwendigen Reisedokumente zu beschaffen (vgl. BVGE 2008/34 E. 12 S. 513-515).</w:t>
      </w:r>
    </w:p>
    <w:p>
      <w:r>
        <w:rPr>
          <w:b/>
        </w:rPr>
        <w:t>E. 5.5</w:t>
      </w:r>
    </w:p>
    <w:p>
      <w:r>
        <w:t>Die Vorinstanz hat den Vollzug zutreffend als möglich, zumutbar und zulässig bezeichnet.</w:t>
      </w:r>
    </w:p>
    <w:p>
      <w:r>
        <w:rPr>
          <w:b/>
        </w:rPr>
        <w:t>E. 6</w:t>
      </w:r>
    </w:p>
    <w:p>
      <w:r>
        <w:t>Aus den vorstehenden Erwägungen ergibt sich, dass die angefochtene Verfügung Bundesrecht nicht verletzt und auch kein anderer Beschwerdegrund erfüllt ist (Art. 106 Abs. 1 AsylG). Die Beschwerde ist abzuweisen.</w:t>
      </w:r>
    </w:p>
    <w:p>
      <w:r>
        <w:rPr>
          <w:b/>
        </w:rPr>
        <w:t>E. 7</w:t>
      </w:r>
    </w:p>
    <w:p>
      <w:r>
        <w:t>Dem Ausgang des Verfahrens entsprechend sind die Kosten dem Beschwerdeführer aufzuerlegen (Art. 63 Abs. 1 VwVG) und auf insgesamt Fr. 600.- festzusetzen (Art. 1 - 3 des Reglements vom 21. Februar 2008 über die Kosten und Entschädigungen vor dem Bundesverwaltungsgericht [VGKE, SR 173.320.2]). Da die Beschwerde als aussichtslos im Sinne von Art. 65 Abs. 1 VwVG zu gelten hat, kann dem Gesuch um Gewährung der unentgeltlichen Prozessführung nicht entsprochen werden. Das Gesuch um Verzicht auf Erhebung eines Kostenvorschusses, wird mit dem vorliegenden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