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E-3911/2023 vom 24. Juli 2023</w:t>
      </w:r>
    </w:p>
    <w:p>
      <w:r>
        <w:t>Bundesverwaltungsgericht, 2023-07-24, DE</w:t>
      </w:r>
    </w:p>
    <w:p>
      <w:r>
        <w:rPr>
          <w:b/>
        </w:rPr>
        <w:t xml:space="preserve">Quelle: </w:t>
      </w:r>
      <w:r>
        <w:t>https://mcp.opencaselaw.ch/entscheid/bvger_E-3911_2023</w:t>
      </w:r>
    </w:p>
    <w:p>
      <w:r>
        <w:t>FR: TAF E-3911/2023 du 24 juillet 2023</w:t>
      </w:r>
    </w:p>
    <w:p>
      <w:r>
        <w:t>IT: TAF E-3911/2023 del 24 luglio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E-3911/2023 Seite 5 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(Bstn.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4.2</w:t>
      </w:r>
    </w:p>
    <w:p>
      <w:r>
        <w:t>Beabsichtigt das SEM, den vorübergehenden Schutz zu verweigern, so setzt es das Verfahren über die Anerkennung als Flüchtling oder das Wegweisungsverfahren unverzüglich fort (Art. 69 Abs. 4 AsylG). Da vorlie- gend kein Asylgesuch gestellt wurde und den Akten auch keine Hinweise auf das Vorliegen von Asylgründen zu entnehmen sind, sind lediglich allfäl- lige Wegweisungsvollzugshindernisse zu prüfen.</w:t>
      </w:r>
    </w:p>
    <w:p>
      <w:r>
        <w:t>E-3911/2023 Seite 6</w:t>
      </w:r>
    </w:p>
    <w:p>
      <w:r>
        <w:rPr>
          <w:b/>
        </w:rPr>
        <w:t>E. 4.3</w:t>
      </w:r>
    </w:p>
    <w:p>
      <w:r>
        <w:t>Ist der Vollzug der Wegweisung nicht zulässig, nicht zumutbar oder nicht möglich, so regelt das SEM das Anwesenheitsverhältnis nach den gesetzlichen Bestimmungen über die vorläufige Aufnahme (vgl. Art. 69 Abs. 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5.1</w:t>
      </w:r>
    </w:p>
    <w:p>
      <w:r>
        <w:t>Die Vorinstanz begründete ihren Entscheid im Wesentlichen damit, dass die Beschwerdeführenden nicht zu der vom Bundesrat definierten Gruppe der schutzberechtigten Personen gehörten. Zwar hätten sie sich zum Zeitpunkt des Kriegsausbruchs in der Ukraine aufgehalten, sie verfüg- ten aber über einen bis am (…) 2024 gültigen Schutzstatus in Belgien und damit über eine Schutzalternative in einem anderen Staat. Der Beschwer- deführer mache zwar geltend, in Belgien nie einen entsprechenden Antrag gestellt zu haben und die Beschwerdeführerin habe erklärt, nie in Belgien gewesen zu sein, die belgischen Behörden hätten aber bestätigt, dass sie über einen Schutzstatus verfügten und dem Rückübernahmegesuch zuge- stimmt. Gestützt auf das Subsidiaritätsprinzip (Schutzalternative in einem anderen Staat) sei das Gesuch um Gewährung des vorübergehenden Schutzes folglich abzuweisen. Das SEM fügte hinzu, dass es sich bei den in der Schweiz wohnhaften Verwandten des Beschwerdeführers – (…) – nicht um die Kernfamilie oder enge Verwandte handle, welche im Zeitpunkt der Flucht teilweise oder ganz durch sie unterstützt worden seien. Ein Ein- schluss in deren Schutzstatus sei somit ausgeschlossen. Ausserdem lebe (…) des Beschwerdeführers in Belgien und es sei den Beschwerdeführen- den jederzeit möglich, ihre Verwandten in der Schweiz zu besuchen.</w:t>
      </w:r>
    </w:p>
    <w:p>
      <w:r>
        <w:t>E-3911/2023 Seite 7 Hinsichtlich der Befürchtungen der Beschwerdeführerin, im Ausland auf der Strasse zu landen, wies das SEM darauf hin, dass soziale und wirt- schaftliche Schwierigkeiten, von welchen die vor Ort ansässige Bevölke- rung im Allgemeinen betroffen sei, keine konkrete Gefährdung im Sinne von Art. 83 Abs. 4 AIG darstellten. Zudem verfüge Belgien über ein Schul- , Sozial- und Gesundheitssystem, das bezüglich seiner Standards mit dem der Schweiz vergleichbar sei. Es werde den Beschwerdeführenden folglich möglich sein, bei Bedarf die nötige wirtschaftliche, soziale und medizini- sche Unterstützung zu erhalten. Damit sei der Wegweisungsvollzug nach Belgien zulässig, zumutbar und möglich.</w:t>
      </w:r>
    </w:p>
    <w:p>
      <w:r>
        <w:rPr>
          <w:b/>
        </w:rPr>
        <w:t>E. 5.2</w:t>
      </w:r>
    </w:p>
    <w:p>
      <w:r>
        <w:t>In ihrer Beschwerde führen die Beschwerdeführenden aus, sie seien in die Schweiz gekommen, da sich die (…) des Beschwerdeführers hier auf- hielten. Sie stünden sich sehr nah und seine (…) seien auf ihn angewiesen. Sie selbst (die Beschwerdeführenden) seien wiederum auf die Unterstüt- zung durch die (…) des Beschwerdeführers angewiesen, die ihnen bei der Kinderbetreuung helfen würden und diese aufwachsen sehen wollten. In Belgien hätten sie keine Unterstützung.</w:t>
      </w:r>
    </w:p>
    <w:p>
      <w:r>
        <w:rPr>
          <w:b/>
        </w:rPr>
        <w:t>E. 6.1</w:t>
      </w:r>
    </w:p>
    <w:p>
      <w:r>
        <w:t>Bei den Beschwerdeführenden handelt es sich unbestrittenermassen um ukrainische Staatsbürger, weshalb sie grundsätzlich unter den in Ziff. I Bst. a der bundesrätlichen Allgemeinverfügung erfassten Personenkreis fallen. Nach dem Willen des Bundesrates soll die Gewährung des Schutz- status S allerdings für Personen ausgeschlossen sein, «denen bereits in einem anderen EU-Staat der Schutzstatus zugesprochen worden ist» (vgl. Medienmitteilung des Bundesrates vom 11. März 2022, verfügbar unter &lt; https://www.admin.ch/gov/de/start/dokumentation/medienmitteilungen. msg-id-87556.html &gt;, zuletzt abgerufen am 20. Juli 2023). Die Beschwer- deführenden verfügen über einen Schutzstatus im EU-Land Belgien, das sich zu ihrer Rückübernahme bereit erklärt hat. Das Vorgehen des SEM, das Gesuch um Gewährung vorübergehenden Schutzes gestützt auf das Subsidiaritätsprinzip abzulehnen, ist daher nicht zu beanstanden. Die Be- schwerdeschrift, in welcher lediglich wiederholt wird, dass sich die (…) des Beschwerdeführers in der Schweiz aufhielten und ein gegenseitiges Unter- stützungsbedürfnis vorliege, vermag zu keiner anderen Betrachtungsweise zu führen.</w:t>
      </w:r>
    </w:p>
    <w:p>
      <w:r>
        <w:rPr>
          <w:b/>
        </w:rPr>
        <w:t>E. 6.2</w:t>
      </w:r>
    </w:p>
    <w:p>
      <w:r>
        <w:t>Die Beschwerdeführenden verfügen insbesondere weder über eine ausländerrechtliche Aufenthaltsbewilligung noch über einen Anspruch auf Erteilung einer solchen. Die Wegweisung wurde demnach vom SEM</w:t>
      </w:r>
    </w:p>
    <w:p>
      <w:r>
        <w:t>E-3911/2023 Seite 8 ebenfalls zu Recht angeordnet (vgl. BVGE 2013/37 E. 4.4; 2009/50 E. 9, je m.w.H.). Dies wird in der Beschwerde denn auch nicht bestritten.</w:t>
      </w:r>
    </w:p>
    <w:p>
      <w:r>
        <w:rPr>
          <w:b/>
        </w:rPr>
        <w:t>E. 6.3</w:t>
      </w:r>
    </w:p>
    <w:p>
      <w:r>
        <w:t>Die Vorinstanz hat im Weiteren den Wegweisungsvollzug zu Recht als zulässig, zumutbar und möglich erkannt. Zur Vermeidung von Wiederho- lungen kann vollumfänglich auf die zu bestätigenden Ausführungen des SEM in der angefochtenen Verfügung (dort E. III) sowie auf die vorste- hende Zusammenfassung (E. 5.1) verwiesen werden. Auch diesbezüglich öffnet die Beschwerde keinen anderen Blickwinkel. Die (…) des Beschwer- deführers gehören – wie die Vorinstanz zu Recht festhält – nicht zur Kern- familie. Abgesehen davon ist offensichtlich auch kein Abhängigkeitsverhält- nis erkennbar. Sowohl der Wunsch nach einem Zusammenleben mit die- sen Personen und das Bedürfnis, die (…) des Beschwerdeführers für die Betreuung der Kinder einzusetzen, sind zwar nachvollziehbar, aber offen- sichtlich nicht vollzugshinderlich. Im Übrigen lebt auch ein (…) des Be- schwerdeführers in Belgien, dem es dort sehr gut gehe (vgl. A12 F8, F28). Der Kontakt zu den in der Schweiz wohnhaften Angehörigen kann ausser- dem weiterhin aufrechterhalten werden. Ferner sind die vom SEM genann- ten Aspekte betreffend das Schul-, Sozial und Gesundheitssystem vollum- fänglich zu stützen. Entsprechend schildert der Beschwerdeführer selbst, dass die Kinder in Belgien zur Schule hätten gehen können und sie regel- mässig Lebensmittel erhalten hätten. Ausserdem sei ihnen gesagt worden, dass sie eine Karte erhielten, auf die periodisch Geld überwiesen würde (vgl. A12 F8 f., F31). Der Vollzug der Wegweisung ist nach dem Gesagten als zulässig, zumut- bar und möglich zu bezeichnen.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w:t>
      </w:r>
    </w:p>
    <w:p>
      <w:r>
        <w:t>Bei diesem Ausgang des Verfahrens sind die Kosten den Beschwerdefüh- renden aufzuerlegen (Art. 63 Abs. 1 VwVG) und auf insgesamt Fr. 750.– festzusetzen (Art. 1–3 des Reglements vom 21. Februar 2008 über die</w:t>
      </w:r>
    </w:p>
    <w:p>
      <w:r>
        <w:t>E-3911/2023 Seite 9 Kosten und Entschädigungen vor dem Bundesverwaltungsgericht [VGKE, SR 173.320.2]). Angesichts der aus den Erwägungen hervorgehenden Aussichtslosigkeit der Beschwerde ist das in der Beschwerde gestellte Gesuch um Gewäh- rung der unentgeltlichen Prozessführung abzuweisen, da es somit an min- destens einer zwingenden Voraussetzung nach Art. 65 Abs. 1 VwVG man- gelt.</w:t>
      </w:r>
    </w:p>
    <w:p>
      <w:r>
        <w:t>(Dispositiv nächste Seite)</w:t>
      </w:r>
    </w:p>
    <w:p>
      <w:r>
        <w:t>E-3911/2023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