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E-3911/2022 vom 20. September 2022</w:t>
      </w:r>
    </w:p>
    <w:p>
      <w:r>
        <w:t>Bundesverwaltungsgericht, 2022-09-20, DE</w:t>
      </w:r>
    </w:p>
    <w:p>
      <w:r>
        <w:rPr>
          <w:b/>
        </w:rPr>
        <w:t xml:space="preserve">Quelle: </w:t>
      </w:r>
      <w:r>
        <w:t>https://mcp.opencaselaw.ch/entscheid/bvger_E-3911_2022</w:t>
      </w:r>
    </w:p>
    <w:p>
      <w:r>
        <w:t>FR: TAF E-3911/2022 du 20 septembre 2022</w:t>
      </w:r>
    </w:p>
    <w:p>
      <w:r>
        <w:t>IT: TAF E-3911/2022 del 20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Die italienischen Behörden liessen das Übernahmeersuchen der Vor-instanz innert der Frist von zwei Monaten unbeantwortet (vgl. E-5335/2021 E. 3.4), womit sie die Zuständigkeit Italiens implizit anerkannten (Art. 22 Abs. 7 Dublin-III-VO). Nachträglich, am 8. Februar 2022, erteilten sie explizit ihre Zustimmung für die Übernahme des Beschwerdeführers und dessen Kinder (SEM-Akte 1096950-63/1). Die Zuständigkeit Italiens ist somit grundsätzlich gegeben, was vom Beschwerdeführer und dessen Kinder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Der Beschwerdeführer macht in seiner Rechtsmitteleingabe im Wesentlichen geltend, eine Überstellung seiner Familie nach Italien sei gemäss Art. 3 EMRK und dem Übereinkommen vom 20. November 1989 über die Rechte des Kindes (KRK; SR 0.107) unzulässig, da er und seine Kinder als asylsuchende Personen der Gruppe der vulnerablen Personen angehören würden. Die Aufnahmebedingungen für seine sich im Vorschulalter befindenden Kinder müssten so angepasst werden, dass für diese nicht eine Situation entstehe, welche von Angst und Stress geprägt sei und traumatische Folgen nach sich ziehe. Genau dies wäre bei einer Rückweisung nach Italien jedoch der Fall. Er und seine Kinder hätten bei ihrem letzten Aufenthalt in Italien in menschenunwürdigen Verhältnissen gelebt, namentlich in einem überfluteten Korridor übernachten müssen. Bereits die damals kurze Aufenthaltsdauer in Italien in Kombination mit der Flucht aus dem Irak habe bei seinen Kindern zu Anzeichen einer erheblichen Traumatisierung geführt. Dies sei aus dem Beurteilungsschreiben der Kindertagesstätte ersichtlich. Dem Schreiben sei auch zu entnehmen, dass es seinen Kindern, seitdem sie in der Schweiz seien, schon viel besser gehe. Eine erneute Entwurzelung sowie die prekären Verhältnisse in Italien würden diese Fortschritte zunichtemachen und zu einer weiteren Traumatisierung der Kinder führen. Sodann spreche auch seine eigene gesundheitliche Verfassung gegen eine Überstellung nach Italien, da er dort seine in der Schweiz begonnene und dringend benötigte Behandlung nicht erhalten würde. Des Weiteren würden die italienischen Behörden im Formular vom 8. Februar 2022 nicht explizit bestätigen, dass er und seine Kinder im Falle der Überstellung in einem Aufnahme- und Integrationssystem SAI (Sistema di accoglienza e integrazione) -Zentrum untergebracht seien. Der blosse Verweis auf das Rundschreiben der italienischen Behörden vom 8. Februar 2021 stelle mitunter keine genügende Garantie für die Unterbringung dar. Die Schweiz sei aufgrund seiner Schilderungen zum Selbsteintritt verpflichtet.</w:t>
      </w:r>
    </w:p>
    <w:p>
      <w:r>
        <w:rPr>
          <w:b/>
        </w:rPr>
        <w:t>E. 5.2</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weisen demnach keine systemischen Mängel auf (Urteil des EGMR S.M.H. gegen die Niederlande vom 17. Mai 2016, Nr. 5868/13, Ziff. 46; Referenzurteil des BVGer E-962/2019 vom 17. Dezember 2019 E. 6.3; Urteil des BVGer F-4232/2021 vom 29. September 2021 E. 5.3). Die Anwendung von Art. 3 Abs. 2 Dublin-III-VO ist folglich nicht gerechtfertigt.</w:t>
      </w:r>
    </w:p>
    <w:p>
      <w:r>
        <w:rPr>
          <w:b/>
        </w:rPr>
        <w:t>E. 5.3</w:t>
      </w:r>
    </w:p>
    <w:p>
      <w:r>
        <w:t>Im Referenzurteil F-6330/2020 vom 18. Oktober 2021 analysierte das Bundesverwaltungsgericht im Rahmen einer Dublin-Beschwerde die Unterbringungssituation von Asylsuchenden, insbesondere von Familien und Alleinerziehenden mit minderjährigen Kindern, in Italien. Das Gericht kam zum Schluss, seit dem Referenzurteil E-962/2019 habe die dortige Rechts- und Sachlage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 eine Unterbringung im Zweitaufnahmesystem SAI gewährleisteten, als hinreichend konkretisierte und individualisierte Zusicherungen im Sinne der Rechtsprechung des Bundesverwaltungsgerichts und des EGMR zu werten. Folglich sei nicht davon auszugehen, dass eine Überstellung der alleinerziehenden Mutter mit ihrem minderjährigen Kind im Rahmen des Dublin-Verfahrens nach Italien eine Verletzung von Art. 3 EMRK nach sich ziehen würde. Es liege somit kein Anlass für einen Selbsteintritt der Schweiz nach Art. 17 Abs. 1 Dublin-III-VO i.V.m. Art. 29a Abs. 3 AsylV 1 vor (Referenzurteil des BVGer F-6330/2020 E. 10 und 11). Der EGMR ist im Urteil M.T. gegen die Niederlande vom 21. März 2021 (Nr. 46595/19) zur selben Einschätzung gelangt und hat zusätzlich festgehalten, dass selbst bei einer vorübergehenden Unterbringung in einer Erstaufnahmeeinrichtung die nötige Betreuung einer alleinerziehenden Mutter mit ihren zwei minderjährigen Kindern gewährleistet sei (Urteil M.T., §§ 58-62).</w:t>
      </w:r>
    </w:p>
    <w:p>
      <w:r>
        <w:rPr>
          <w:b/>
        </w:rPr>
        <w:t>E. 5.4</w:t>
      </w:r>
    </w:p>
    <w:p>
      <w:r>
        <w:t>Der Beschwerdeführer gehört als alleinerziehender Vater mit seinen beiden minderjährigen Kindern zu den schutzbedürftigen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Die italienischen Behörden führten im Formular «nucleo familiare» vom 8. Februar 2022 Vor- und Nachnamen, Geburtsdaten und Nationalität des Beschwerdeführers und seiner Kinder auf. Sie gaben die Zusicherung ab, dass der Beschwerdeführer und die Kinder als Familie und unter Berücksichtigung des Alters der Kinder in einer Einrichtung des Aufnahme- und Integrationssystems SAI untergebracht würden. Zudem verwiesen sie auf das Rundschreiben vom 8. Februar 2021, in welchem die italienischen Behörden die Dublin-Staaten über das Inkrafttreten des Gesetzesdekrets Nr. 130/2020 und die Schaffung des Aufnahme- und Integrationssystems SAI informierten und garantierten, dass Familien mit minderjährigen Kindern, die im Rahmen des Dublin-Verfahrens nach Italien überstellt würden, im SAI-System unter Wahrung der Einheit der Familie und in Übereinstimmung mit dem Tarakhel-Urteil untergebracht würden. Die von Italien abgegebene Anerkennung der Familieneinheit und Zusicherung einer familiengerechten Unterbringung sind demnach als genügend individualisierte Zusicherungen im Sinne der Rechtsprechung des Bundesverwaltungsgerichts und des EGMR zu werten (Referenzurteil des BVGer F-6330/2020 E. 10 und 11; Urteil M.T., §§ 58-62). Es ist nicht davon auszugehen, dass eine Überstellung des Beschwerdeführers und seiner Kinder nach Italien eine Verletzung von Art. 3 EMRK nach sich ziehen würde. Die diesbezüglichen Ausführungen in der Rechtsmitteleingabe vermögen daran nichts zu ändern, zumal sich diese darauf beschränken, die Rechtsprechung zu kritisieren. Klarzustellen gilt es an dieser Stelle zudem, dass die Dublin-III-VO den Schutzsuchenden kein Recht einräumt, den ihren Antrag prüfenden Staat selber auszuwählen (vgl. BVGE 2010/45 E. 8.3).</w:t>
      </w:r>
    </w:p>
    <w:p>
      <w:r>
        <w:rPr>
          <w:b/>
        </w:rPr>
        <w:t>E. 5.5</w:t>
      </w:r>
    </w:p>
    <w:p>
      <w:r>
        <w:t>Hinsichtlich des Kindswohls der beiden Kinder (Jg. [...] und [...]) ist darauf hinzuweisen, dass Italien Signatarstaat der KRK ist und keine Hinweise darauf bestehen, dass Italien sich nicht an seine völkerrechtlichen Pflichten halten würde, zumal die italienischen Behörden eine kindsgerechte Unterkunft zugesichert haben. Das Kindswohl steht somit einer Überstellung nach Italien nicht entgegen (vgl. Art. 3 KRK). Der beschwerdeweise neu zu den Akten gereichte Bericht der Kindertagesstätte vermag daran nichts zu ändern.</w:t>
      </w:r>
    </w:p>
    <w:p>
      <w:r>
        <w:rPr>
          <w:b/>
        </w:rPr>
        <w:t>E. 5.6</w:t>
      </w:r>
    </w:p>
    <w:p>
      <w:r>
        <w:t>Da die italienischen Behörden eine Unterbringung der Beschwerdeführenden in einem SAI zugesichert haben (SEM-Akte 1096950-63/1; 1096950-70/2), sind die Ausführungen der Beschwerdeführenden betreffend Erstaufnahmezentren nicht einschlägig. Selbst eine vorübergehende Unterbringung in einem Erstaufnahmezentrum würde keine Verletzung von Art. 3 EMRK nach sich ziehen (vgl. E. 5.3). In Bezug auf die gesundheitliche Betreuung des Beschwerdeführers in Italien ist festzuhalten, dass diese im Rahmen des SAI gewährleistet ist. Bei den vom Beschwerdeführer angeführten gesundheitlichen Problemen ([...] und ein [...]) handelt es sich nicht um schwerwiegende Erkrankungen im Sinne des Referenzurteils E-962/2019. Daran ändert auch der Umstand nichts, dass weitere (...) indiziert scheinen und ihm Medikamente verschrieben worden sind (SEM-Akte 1096950-69/7). Für eine Fortsetzung dieser Therapien (inkl. Medikamente) des Beschwerdeführers in Italien sind dementsprechend - wie dies von diesem subeventualiter beantragt wird - keine zusätzlichen Zusicherungen von den italienischen Behörden einzuholen. Zudem hat die Vorinstanz in der angefochtenen Verfügung festgehalten, dass die italienischen Behörden bei der Überstellung über die notwendige medizinische Behandlung informiert und eine angemessene Menge der verschriebenen Medikamente dem Beschwerdeführer mitgegeben wird.</w:t>
      </w:r>
    </w:p>
    <w:p>
      <w:r>
        <w:rPr>
          <w:b/>
        </w:rPr>
        <w:t>E. 5.7</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Da er nicht im Besitz einer gültigen Aufenthalts- oder Niederlassungsbewilligung ist, wurde die Überstellung nach Italien in Anwendung von Art. 44 AsylG ebenfalls zu Recht angeordnet (Art. 32 Bst. a AsylV 1). Es besteht nach dem Gesagten weder Veranlassung zur Rückweisung der Sache an die Vorinstanz im Sinne des Eventualbegehrens, zumal die gerügte Verletzung des rechtlichen Gehörs nicht begründet ist und eine solche aus den Akten auch nicht ersichtlich ist, noch des Subeventualbegehrens (vgl. E. 5.5 und 5.6).</w:t>
      </w:r>
    </w:p>
    <w:p>
      <w:r>
        <w:rPr>
          <w:b/>
        </w:rPr>
        <w:t>E. 6</w:t>
      </w:r>
    </w:p>
    <w:p>
      <w:r>
        <w:t>Nach dem Gesagten ist die Beschwerde abzuweisen und die Verfügung des SEM zu bestätigen. Der angeordnete Vollzugsstopp fällt mir vorliegendem Urteil dahin.</w:t>
      </w:r>
    </w:p>
    <w:p>
      <w:r>
        <w:rPr>
          <w:b/>
        </w:rPr>
        <w:t>E. 7</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