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E-3905/2017 vom 8. September 2017</w:t>
      </w:r>
    </w:p>
    <w:p>
      <w:r>
        <w:t>Bundesverwaltungsgericht, 2017-09-08, DE</w:t>
      </w:r>
    </w:p>
    <w:p>
      <w:r>
        <w:rPr>
          <w:b/>
        </w:rPr>
        <w:t xml:space="preserve">Quelle: </w:t>
      </w:r>
      <w:r>
        <w:t>https://mcp.opencaselaw.ch/entscheid/bvger_E-3905_2017</w:t>
      </w:r>
    </w:p>
    <w:p>
      <w:r>
        <w:t>FR: TAF E-3905/2017 du 8 septembre 2017</w:t>
      </w:r>
    </w:p>
    <w:p>
      <w:r>
        <w:t>IT: TAF E-3905/2017 del 8 settembre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3.2</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3.3</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w:t>
      </w:r>
    </w:p>
    <w:p>
      <w:r>
        <w:t>Die vorinstanzlichen Schlussfolgerungen sind weder in tatsächlicher noch in rechtlicher Hinsicht zu beanstanden. Die angefochtene Verfügung ist ausführlich begründet. Die Rechtsmitteleingabe erschöpft sich in wenigen spärlichen Erklärungsversuchen, womit sie nicht aufzeigt, inwiefern die vorinstanzliche Beweiswürdigung Bundesrecht verletzen oder zu einer rechtsfehlerhaften Sachverhaltsfeststellung führen soll. Solches ist auch nicht ersichtlich. Die Vorinstanz hat zutreffend erkannt, dass die Fluchtgeschichte keine Asylrelevanz zu entfalten vermag (zum Sachverhalt oben Bst. A). Bereits das Verhalten des Beschwerdeführers lässt nicht auf ernsthafte Nachteile im Sinne des Asylgesetzes schliessen. So reiste er erst fünf Jahre nach dem angeblich ersten Problem aus und kehrte anschliessend wieder nach Bischkek zurück, wo er sich erneut niederliess, arbeitete, heiratete und ein Visum beantragte. Es ist der Vorinstanz darin beizupflichten, dass es bereits an einem zeitlichen Kausalzusammenhang zwischen den angeblich zentralen Problemen (2007 und Juli 2015) und der ersten (Juli 2012) beziehungsweise zweiten Ausreise (Juni 2016) fehlt. Dies trifft auch bei einer Gesamtbetrachtung aller Ereignisse zu, die, bei entsprechender Intensität, auf eine frühere Flucht oder das Vermeiden einer Rückkehr in den Herkunftsort schliessen lassen würden. Entsprechend seinen Schilderungen konnte der Beschwerdeführer in seiner Heimat ein geregeltes Leben mit Beruf führen. Sodann sind die angeblichen Probleme mit den Polizisten Einzelfälle, an denen der Beschwerdeführer - nicht aber seine Homosexualität - wesentlich beteiligt war, zumal sein Hund das eine Mal den Polizisten gebissen hat und er das andere Mal einem Zutrittsverbot eines Polizeipostens nicht Folge leistete. Entgegen den Ausführungen auf Beschwerdeebene stellt die Vorinstanz zutreffend fest, dass die hierauf ergriffenen Massnahmen der Polizisten - sofern sie überhaupt im geschilderten Masse stattgefunden haben - nicht den Rahmen legitimen staatlichen Handelns in einem asylbeachtlichen Sinne sprengen (bedingte Haftstrafe weil Hund Polizisten beisst im Jahr 2007 sowie eine Festnahme und Körperverletzung anlässlich der Durchsetzung eines Zutrittsverbots einer Polizeistation im Jahr 2015). Dass der Beschwerdeführer keine generellen Probleme mit den Behörden hat, manifestiert sich beispielsweise darin, dass er bei diesen wiederholt Hilfe holte (z. B. anlässlich des Angriffs der Jugendlichen, Anzeige bei der Staatsanwaltschaft). Es ist kein fehlender Schutzwille der Behörden zu erkennen, die in Kirgisistan grundsätzlich auch schutzfähig sind. Weiter liess sich der Beschwerdeführer ein Visum ausstellen und konnte das Land problemlos legal verlassen, was ebenfalls untermauert, dass er seitens des Staates keine Verfolgung im Sinne von Art. 3 AsylG zu gewärtigen hat. Schliesslich erschöpfen sich seine Ausführungen in Bezug auf seine angebliche Homosexualität repetitiv darin, dass er deshalb beschimpft oder von seiner Mutter wegen seiner Gesinnung herablassend behandelt worden sei, was nicht genügt. Die pauschale Behauptung, die herablassende Einstellung der Leute sei immer schlimmer geworden, ändert hieran nichts. Die Vorbringen in Bezug auf Russland sind aufgrund der fehlenden Intensität ebenfalls nicht asylbeachtlich. Dass er aufgrund der Vorkommnisse in Russland in seiner Heimat keine Nachteile gewärtigen muss, bezeugen seine Rückkehr nach Kirgisistan, die dortigen Umstände und die anschliessend legale Ausreise mit Visum. Die Erklärungsversuche auf Beschwerdeebene und die Beschwerdebeilagen sind nicht geeignet, am Beweisergebnis etwas zu ändern. Was die Teilnahme an der Pride in Zürich anbelangt, erreicht diese kein Ausmass um subjektive Nachfluchtgründe zu begründen. An dieser haben - wie der Beschwerdebeilage zu entnehmen ist - 19'000 Menschen teilgenommen. Die zwei Sätze im Artikel "19'000 Menschen am Zurich Pride Demonstrationsumzug" mit Nennung des Namens des Beschwerdeführers ändern hieran ebenso wenig, wie sein Redebeitrag anlässlich dieser Pride. Es ist nicht ersichtlich, inwiefern die kirgisischen Behörden gerade auf ihn aufmerksam geworden sein sollen. Sein Handeln in der Schweiz knüpft auch nicht an entsprechende behördliche asylrelevante Probleme in Bezug auf seine sexuelle Gesinnung an. So erschöpft sich die Beschwerde hierzu auch lediglich in einer unbegründeten Vermutung (Beschwerde, S. 4). Um Wiederholungen zu vermeiden, ist auf die zutreffenden und ausführlichen Erwägungen der Vorinstanz zu verweisen, die das Asylgesuch zu Recht abgelehnt hat.</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der Beschwerde noch aus den Akten ergeben sich konkrete Anhaltspunkte dafür, dass der Beschwerdeführer für den Fall einer Ausschaffung in sein Heimatland dort mit beachtlicher Wahrscheinlichkeit einer nach Art. 3 EMRK oder Art. 1 FoK verbotenen Strafe oder Behandlung ausgesetzt wäre. Der Vollzug der Wegweisung ist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In Kirgisistan herrscht keine Situation von Krieg, Bürgerkrieg oder allgemeiner Gewalt. Es liegen auch keine individuellen Wegweisungshindernisse vor, die auf eine Unzumutbarkeit des Wegweisungsvollzugs des jungen und grundsätzlich gesunden Beschwerdeführers in seine Heimat schliessen lassen würden. So leben vor Ort seine Eltern, Geschwister, Verwandte und er kann dort auf langjährige Arbeitserfahrung mit "gutem Verdienst" zurückgreifen sowie mit seiner Ehefrau wieder Fuss fassen (z. B. SEM-Akten, A8, S. 3 f.). Hieran ändert seine angeblich homosexuelle Gesinnung nichts, zumal er offensichtlich im Arbeitsalltag keine Probleme hatte, all die Jahre in Kirgisistan ein geregeltes Leben führen konnte und keinen ernsthaften asylrelevanten Nachteilen ausgesetzt war (hierzu oben E. 4). Die Beschwerdebeilagen ändern hieran nichts. Was seinen Gesundheitszustand anbelangt, gab er in der Erstbefragung zu Protokoll, bis auf Ohr- und Armschmerzen gesund zu sein (SEM-Akten, A8, S. 9, Ziff. 8.02). Auf Beschwerdeebene werden weder Arztzeugnisse eingereicht noch Gesundheitsprobleme geltend gemacht. Vor diesem Hintergrund ist auf die ohnehin nicht lebensbedrohlichen, aktenkundigen Schlafstörungen, Albträume oder Angstzustände nicht weiter einzugehen. Der Vollzug der Wegweisung ist zumutbar.</w:t>
      </w:r>
    </w:p>
    <w:p>
      <w:r>
        <w:rPr>
          <w:b/>
        </w:rPr>
        <w:t>E. 6.4</w:t>
      </w:r>
    </w:p>
    <w:p>
      <w:r>
        <w:t>Nach Art. 83 Abs. 2 AuG ist der Vollzug auch als möglich zu bezeichnen, weil es dem Beschwerdeführer obliegt, sich die für eine Rückkehr notwendigen Reisedokumente - sofern notwendig - bei der zuständigen Vertretung seines Heimatstaats zu beschaffen (Art. 8 Abs. 4 AsylG und dazu BVGE 2008/34 E. 12). Der Vollzug der Wegweisung ist möglich.</w:t>
      </w:r>
    </w:p>
    <w:p>
      <w:r>
        <w:rPr>
          <w:b/>
        </w:rPr>
        <w:t>E. 6.5</w:t>
      </w:r>
    </w:p>
    <w:p>
      <w:r>
        <w:t>Die Vorinstanz hat den Vollzug demnach zu Recht als zulässig, zumutbar und möglich erachtet.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AsylG). Die Beschwerde ist abzuweisen.</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rPr>
          <w:b/>
        </w:rPr>
        <w:t>E. 8.2</w:t>
      </w:r>
    </w:p>
    <w:p>
      <w:r>
        <w:t>Bei diesem Ausgang des Verfahrens sind die Kosten von Fr. 750.-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