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E-389/2025 vom 4. Juni 2025</w:t>
      </w:r>
    </w:p>
    <w:p>
      <w:r>
        <w:t>Bundesverwaltungsgericht, 2025-06-04, FR</w:t>
      </w:r>
    </w:p>
    <w:p>
      <w:r>
        <w:rPr>
          <w:b/>
        </w:rPr>
        <w:t xml:space="preserve">Quelle: </w:t>
      </w:r>
      <w:r>
        <w:t>https://mcp.opencaselaw.ch/entscheid/bvger_E-389_2025</w:t>
      </w:r>
    </w:p>
    <w:p>
      <w:r>
        <w:t>FR: TAF E-389/2025 du 4 juin 2025</w:t>
      </w:r>
    </w:p>
    <w:p>
      <w:r>
        <w:t>IT: TAF E-389/2025 del 4 giugno 2025</w:t>
      </w:r>
    </w:p>
    <w:p>
      <w:pPr>
        <w:pStyle w:val="Heading2"/>
      </w:pPr>
      <w:r>
        <w:t>Regeste</w:t>
      </w:r>
    </w:p>
    <w:p>
      <w:r>
        <w:t>Refus de la protection provisoire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Il n'est pas perçu de frais de procédure.</w:t>
      </w:r>
    </w:p>
    <w:p>
      <w:r>
        <w:rPr>
          <w:b/>
        </w:rPr>
        <w:t>E. 3</w:t>
      </w:r>
    </w:p>
    <w:p>
      <w:r>
        <w:t>Le Tribunal versera le montant de 1'350 francs à la mandataire du recourant, à titre de rémunération de son mandat d'office.</w:t>
      </w:r>
    </w:p>
    <w:p>
      <w:r>
        <w:rPr>
          <w:b/>
        </w:rPr>
        <w:t>E. 4</w:t>
      </w:r>
    </w:p>
    <w:p>
      <w:r>
        <w:t>Le présent arrêt est adressé à la mandataire du recourant, au SEM et à l'autorité cantonale. Le président du collège : Le greffier : William Waeber Marc Toriel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