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E-3899/2006 vom 5. Januar 2009</w:t>
      </w:r>
    </w:p>
    <w:p>
      <w:r>
        <w:t>Bundesverwaltungsgericht, 2009-01-05, DE</w:t>
      </w:r>
    </w:p>
    <w:p>
      <w:r>
        <w:rPr>
          <w:b/>
        </w:rPr>
        <w:t xml:space="preserve">Quelle: </w:t>
      </w:r>
      <w:r>
        <w:t>https://mcp.opencaselaw.ch/entscheid/bvger_E-3899_2006</w:t>
      </w:r>
    </w:p>
    <w:p>
      <w:r>
        <w:t>FR: TAF E-3899/2006 du 5 janvier 2009</w:t>
      </w:r>
    </w:p>
    <w:p>
      <w:r>
        <w:t>IT: TAF E-3899/2006 del 5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108 Abs. 1 und 6 AsylG i.V.m. Art. 48 Abs.1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dass die vom Beschwerdeführer geltend gemachten Benachteiligungen, so bedauerlich dies im Einzelnen sei, Ausdruck der seit Jahren dauernden Kämpfe zwischen der PKK (Partiya Karkerên Kurdistan, Kurdische Arbeiterpartei) und dem Militär seien. Solche kriegerischen Auseinandersetzungen und deren Auswirkungen würden jedoch keine Verfolgungsmassnahmen im Sinne des Asylgesetzes darstellen und seien demzufolge nicht asylrelevant. Die Asylgewährung setze gezielt gegen die Person des Beschwerdeführers gerichtete staatliche Verfolgungsmassnahmen aus den in Art. 3 Abs. 1 AsylG genannten Gründen voraus. Diese Voraussetzungen seien im vorliegenden Fall nicht gegeben. Die vom Beschwerdeführer geltend gemachten kurzen Festnahmen seitens der türkischen Sicherheitskräfte würden oft vorkommen und müssten als Routinevorkommnis gewertet werden. Zudem seien aus den Akten keine konkreten Hinweise zu entnehmen, wonach er eine künftige asylrelevante Verfolgung zu befürchten hätte. Der Beschwerdeführer mache weiter nur Nachteile geltend, die sich aus lokal oder regional beschränkten Verfolgungsmassnahmen aufgrund der allgemeinen Situation in der Region ableiten lassen würden. Demgemäss sei er in seiner Heimat nicht mit einer landesweit ausweglosen Situation konfrontiert. Es sei ihm somit zumutbar, sich allfälligen Behelligungen durch Wegzug in einen anderen Teil seines Heimatstaates zu entziehen. Er sei daher auf den Schutz der Schweiz nicht angewiesen. Ferner würden sich aus den Akten keine Anhaltspunkte dafür ergeben, dass dem Beschwerdeführer im Falle einer Rückkehr in den Heimat-staat mit beachtlicher Wahrscheinlichkeit eine durch Art. 3 der Kon-vention vom 4. November 1950 zum Schutze der Menschenrechte und Grundfreiheiten (EMRK, SR 0.101) verbotene Strafe oder Behandlung drohe. Weder die in seinem Heimatstaat herrschende politische Situation noch andere Gründe würden gegen die Zumutbarkeit der Rückführung in den Heimatstaat sprechen. So seien seine psychi-schen Probleme in der Türkei behandelbar, wie auch seinen eigenen Aussagen zu entnehmen sei. Ausserdem sei der Vollzug der Wegwei-sung technisch möglich und praktisch durchführbar.</w:t>
      </w:r>
    </w:p>
    <w:p>
      <w:r>
        <w:rPr>
          <w:b/>
        </w:rPr>
        <w:t>E. 3.2</w:t>
      </w:r>
    </w:p>
    <w:p>
      <w:r>
        <w:t>In der Beschwerde wird der Argumentation der Vorinstanz Fol-gendes entgegengehalten: Das BFM habe bei seiner Beurteilung der Asylrelevanz der Vorbringen allein auf die Intensität der geltend gemachten Eingriffe abgestellt; nicht berücksichtigt habe das Bundesamt die übrigen Umstände sowie die individuelle Verletzlichkeit und Empfindlichkeit des Beschwerdeführers. Seit beinahe (...) würden in seinem Heimatdorf erbitterte Kämpfe zwischen den Militärs und der Guerilla stattfinden. Er sei als Sohn eines Türken und einer Kurdin zwischen den beiden Fronten hin- und hergerisssen. Es sei ihm vorgeworfen worden, als Staatsspitzel tätig zu sein. Seine Ehefrau sei (...) worden. Der Beschwerdeführer leide unter einer (...), nehme deswegen seit Jahren Medikamente mit massiven Nebenwirkungen und habe wiederholt stationär behandelt werden müssen. Unter Berücksichtigung der geschilderten Gesamtsituation müssten die willkürlichen Inhaftierungen in den Jahren (...) und (...) als derart gravierend eingestuft werden, dass ein ernsthafter Nachteil im Sinne von Art. 3 AsylG ohne weiteres angenommen werden könne. Das Vorliegen einer internen Fluchtalternative sei unter Berücksichtigung der Schwierigkeit des Aufbaus einer existenz-sichernden Lebensgrundlage nur mit Zurückhaltung anzunehmen. Gemäss Art. 51 Abs. 1 AsylG würden Ehegatten von Flüchtlingen in der Regel in deren Flüchtlingseigenschaft miteinbezogen. Vorliegend habe die Ehefrau des Beschwerdeführers am 13. Januar 2004 in der Schweiz ein Asylgesuch gestellt. Aufgrund der in der Asylbeschwerde vom 27. Februar 2004 gemachten Ausführungen sei die Flüchtlingseigenschaft der Ehefrau zu bejahen. Sollte die Beschwerdeinstanz wider Erwarten zum Schluss gelangen, der Beschwerdeführer erfülle die Flüchtlingseigenschaft nicht bereits aufgrund seiner eigenen Fluchtgründe, so sei er zumindest aufgrund des Einbezugs in die Flüchtlingseigenschaft seiner Ehefrau als Flüchtling anzuerkennen. Da der Beschwerdeführer bei einer Rückkehr in die Türkei mit beachtlicher Wahrscheinlichkeit staatlichen Repressalien ausgesetzt wäre, verstosse die verfügte Wegweisung gegen völkerrechtliche Verpflichtungen, insbesondere gegen Art. 3 EMRK.</w:t>
      </w:r>
    </w:p>
    <w:p>
      <w:r>
        <w:rPr>
          <w:b/>
        </w:rPr>
        <w:t>E. 4.1</w:t>
      </w:r>
    </w:p>
    <w:p>
      <w:r>
        <w:t>Die generellen Voraussetzungen, die erfüllt sein müssen, damit ein Asylsuchender in der Schweiz als Flüchtling anerkannt werden kann, sind vorstehend erwähnt. Anzufügen bleibt Folgendes: Die Um-schreibung der Verfolgung als ernsthafte Nachteile für die zentralsten Rechtsgüter macht klar, dass eine gewisse Intensität der Eingriffe für die Anerkennung als Flüchtling vorauszusetzen ist. Während Massnah-men, wie sie in Art. 3 EMRK umschrieben werden (Folter, unmensch-liche und erniedrigende Handlung), die erforderliche Intensität ohne weiteres zuzusprechen ist, ist bei geringeren Eingriffen in die genann-ten Rechtsgüter - wie Freiheitsentzug, Schläge und sexuelle Be-lästigungen - die physische oder psychische Beeinträchtigung in Re-lation zu ihrer Dauer und Häufigkeit sowie zu den gesamten Umstän-den (unter Einbezug der individuellen Empfindlichkeit und Verletzlich-keit) zu setzen. Massnahmen, welche einen unerträglichen psychi-schen Druck bewirken, müssen sich demgegenüber nicht gegen eines der drei namentlich aufgeführten Rechtsgüter Leib, Leben und Freiheit richten. Da es aber auch bei diesem Tatbestand um einschneidende Eingriffe gehen muss, sind gemäss der von der ARK festgelegten und vom Bundesverwaltungsgericht übernommenen Praxis grundsätzlich hohe Anforderungen an solche Verfolgungsmassnahmen zu stellen: Sie müssen derart ernsthaft und intensiv sein, dass damit dem Betrof-fenen ein menschenwürdiges Leben verunmöglicht wird (vgl. Entschei-dungen und Mitteilungen der Schweizerischen Asylrekurskommission [EMARK] 1996 Nr. 28). Zudem bedarf es der Aktualität der Verfol-gungssituation. Die Furcht vor Verfolgung muss im Zeitpunkt der Flucht aus dem Verfolgerstaat bestanden und bis zum Zeitpunkt des Asylentscheides angedauert haben. Vom Bestehen der begründeten Furcht im Zeitpunkt der Ausreise wird in der Regel ausgegangen, wenn zwischen einer erfolgten Verfolgungsmassnahme oder der Kenntnisnahme einer Verfolgungsgefahr und der Ausreise ein zeitlicher und sachlicher Zusammenhang besteht. Die Flüchtlingseigenschaft setzt weiter voraus, dass die betroffene Person landesweiter Verfol-gung ausgesetzt ist. Gemäss der Rechtssprechung der ARK und nun auch des Bundesverwaltungsgerichts kann vom Vorhandensein einer inländischen Fluchtalternative ausgegangen werden, wenn die betrof-fene Person am neuen Zufluchtsort nicht erneut asylrelevanten Be-helligungen ausgesetzt ist, die zur internen Flucht führende Verfolgung nicht von einer Zentralgewalt ausgeht, die betroffene Person am neuen Ort auch vor mittelbarer Verfolgung sicher und nicht Behelligungen ausgesetzt ist, die zwar für sich betrachtet zu wenig intensiv sind, um Asylbeachtlichkeit zu erlangen, aber dazu führen, dass sie gezwungen wird, erneut an ihren Ursprungsort zurückzukehren (EMARK 1996 Nr.1).</w:t>
      </w:r>
    </w:p>
    <w:p>
      <w:r>
        <w:rPr>
          <w:b/>
        </w:rPr>
        <w:t>E. 4.2</w:t>
      </w:r>
    </w:p>
    <w:p>
      <w:r>
        <w:t>Dem Vorbringen des Beschwerdeführers, wonach er im Jahre (...) von den Behörden mitgenommen und für einen Tag festgehalten worden sei, kann mangels zeitlicher Kausalität zu seiner Flucht keine Asylrelevanz zukommen. Letzteres gilt auch für die kurzzeitige Fest-nahme im Jahre (...); diesem Vorfall fehlt es an der nötigen Intensität. Wie bereits von der Vorinstanz ausgeführt, ist ausserdem darauf hin-zuweisen, dass die Asylgewährung gezielt gegen die Person des Be-schwerdeführers gerichtete staatliche Verfolgungsmassnahmen aus den in Art. 3 Abs. 1 AsylG genannten Gründen voraussetzt. Solche sowie auch nichtstaatliche Verfolgungsmassnahmen (vgl. EMARK 2006 Nr. 18) gehen allerdings weder aus seinen Aussagen noch aus den Akten hervor. Weiter ist auch nicht ersichtlich, weshalb sich der Beschwerdeführer, wäre es für ihn in seinem Heimatdorf wirklich unerträglich gewesen, nicht längst an einem anderen Ort in der Türkei niederliess.</w:t>
      </w:r>
    </w:p>
    <w:p>
      <w:r>
        <w:rPr>
          <w:b/>
        </w:rPr>
        <w:t>E. 4.3</w:t>
      </w:r>
    </w:p>
    <w:p>
      <w:r>
        <w:t>Das Bundesamt hat das Asylgesuch des Beschwerdeführers mit-hin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EGMR und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Türkei lässt, auch wenn sie nicht in allen Belangen zu befriedigen vermag,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Festzuhalten ist weiter, dass seine psychischen Probleme auch in seinem Heimatstaat behandelbar wären, was im Übrigen auch in den beiden eingereichten Arztzeugnissen so beurteilt wird. Es sind somit keine persönlichen Gründe ersichtlich, die gegen die Rückkehr des Beschwerdeführers sprechen.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wären die Kosten dem Be-schwerdeführer aufzuerlegen (Art. 63 Abs. 1 und 5 VwVG). Nachdem aber aufgrund der Aktenlage von der Bedürftigkeit des Beschwer-deführers auszugehen ist und die Beschwerde nicht als aussichtslos bezeichnet werden konnte, ist in Gutheissung des Gesuchs um Gewährung der unentgeltlichen Rechtspflege von einer Kostenauflage abzusehen (Art. 65 Abs. 1 VwVG).</w:t>
      </w:r>
    </w:p>
    <w:p>
      <w:r>
        <w:rPr>
          <w:b/>
        </w:rPr>
        <w:t>E. 9.2</w:t>
      </w:r>
    </w:p>
    <w:p>
      <w:r>
        <w:t>Mit Schreiben vom 28. Juli 2008 reichte die vormalige Rechtsver-treterin des Beschwerdeführers eine Kostennote, in welcher sie einen Aufwand von insgesamt Fr. 4'072.05 (inkl. MWST) ausweist, zu den Akten. Aufgrund des Verfahrensausgangs ist jedoch vorliegend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