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E-3897/2019 vom 5. August 2021</w:t>
      </w:r>
    </w:p>
    <w:p>
      <w:r>
        <w:t>Bundesverwaltungsgericht, 2021-08-05, DE</w:t>
      </w:r>
    </w:p>
    <w:p>
      <w:r>
        <w:rPr>
          <w:b/>
        </w:rPr>
        <w:t xml:space="preserve">Quelle: </w:t>
      </w:r>
      <w:r>
        <w:t>https://mcp.opencaselaw.ch/entscheid/bvger_E-3897_2019</w:t>
      </w:r>
    </w:p>
    <w:p>
      <w:r>
        <w:t>FR: TAF E-3897/2019 du 5 août 2021</w:t>
      </w:r>
    </w:p>
    <w:p>
      <w:r>
        <w:t>IT: TAF E-3897/2019 del 5 agosto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Massgeblich für die Beurteilung der Flüchtlingseigenschaft ist die Situation im Zeitpunkt des Asylentscheids. Veränderungen der objektiven Situation im Heimat- oder Herkunftsstaat sind zwischen Ausreise und Asylentscheid zugunsten und zulasten der asylsuchenden Person zu berücksichtigen (vgl. BVGE 2010/57 E. 2.6, 2008/34 E. 7.1 und 2008/12 E. 5.2.).</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den Anforderungen an die Flüchtlingseigenschaft nach Art. 3 AsylG nicht stand. Zur Begründung wird in der Verfügung ausgeführt, seit der Einreichung des Asylgesuchs des Beschwerdeführers habe sich die Lage im Heimatland, insbesondere seit der Wahl des neuen Premierministers Abiy Ahmed im April 2018, wesentlich verbessert. Dies insbesondere im Zusammenhang mit der Volksgruppe der Oromo und der politischen Opposition. Zahlreiche politische Persönlichkeiten, welche sich unter der ehemaligen Regierung ins Exil begeben hätten, seien inzwischen zurückgekehrt und begnadigt worden. Andere ehemals als Oppositionelle erklärte Personen seien freigesprochen oder aus der Gefängnishaft entlassen worden. Da selbst Personen mit hohem politischen Profil inzwischen wieder nach Äthiopien zurückkehren könnten, ohne dass sie einem Risiko unmenschlicher Behandlung ausgesetzt würden, gebe es keinen begründeten Anlass zur Annahme, der Beschwerdeführer müsse bei einer Rückkehr in sein Heimatland wegen der geltend gemachten Demonstrationsteilnahme im Jahre 20(...) mit einer Verfolgung in flüchtlingsrechtlich relevantem Ausmass rechnen.</w:t>
      </w:r>
    </w:p>
    <w:p>
      <w:r>
        <w:rPr>
          <w:b/>
        </w:rPr>
        <w:t>E. 5</w:t>
      </w:r>
    </w:p>
    <w:p>
      <w:r>
        <w:t>In der Rechtsmitteleingabe macht der Beschwerdeführer im Wesentlichen geltend, er habe in seinem Heimatland schwere behördliche Misshandlung erlitten und deshalb mehrere Monate im Krankenhaus behandelt werden müssen. Aufgrund dieser massiven Verfolgung und der daraus erwachsenen Langzeittraumatisierung sei er unabhängig von einer allfällig aktuellen Verfolgung als Flüchtling zu anerkennen. Aber auch bezüglich der Beurteilung der Lage in Äthiopien sei der Vorinstanz zu widersprechen. Unter anderem stehe die Nachhaltigkeit der durch die Vorinstanz aufgeführten Veränderungen sowie die Möglichkeit des politischen Machterhalts des amtierenden Präsidenten in Frage. Nach wie vor sei das Land von politischen Spannungen und ethnischen Unruhen geplagt. Die Zahl der Vertriebenen habe sich auf beinahe drei Millionen erhöht. Auch das Bundesverwaltungsgericht zeige sich in seiner Rechtsprechung zurückhaltend im Zusammenhang mit der Nachhaltigkeit der jüngeren politischen Veränderungen.</w:t>
      </w:r>
    </w:p>
    <w:p>
      <w:r>
        <w:rPr>
          <w:b/>
        </w:rPr>
        <w:t>E. 6</w:t>
      </w:r>
    </w:p>
    <w:p>
      <w:r>
        <w:t>In der Vernehmlassung führt die Vorinstanz aus, aufgrund der Vorbringen des Beschwerdeführers sei die geltend gemachte Traumatisierung nicht dargelegt und entsprechende medizinische Berichte lägen diesbezüglich keine vor. Soweit er auf andere Gerichtsurteile verweise, sei festzuhalten, dass diese nicht ohne Weiteres auf seinen Fall übertragbar seien.</w:t>
      </w:r>
    </w:p>
    <w:p>
      <w:r>
        <w:rPr>
          <w:b/>
        </w:rPr>
        <w:t>E. 7</w:t>
      </w:r>
    </w:p>
    <w:p>
      <w:r>
        <w:t>Der Beschwerdeführer macht unter anderem geltend, er sei aufgrund der erlittenen Misshandlungen im Heimatland langzeittraumatisiert, weshalb seine Flüchtlingseigenschaft zu anerkennen sei. Im Zusammenhang mit der geltend gemachten Langzeittraumatisierung ist festzuhalten, dass der Beschwerdeführer anlässlich des erstinstanzlichen Verfahrens weder an der BzP noch im Rahmen der späteren Anhörung zu den Fluchtgründen irgendwelche psychischen Probleme im Zusammenhang mit dem im Heimatland Erlebten erwähnte. Die erst auf Beschwerdeebene geltend gemachte Langzeittraumatisierung hat der anwaltliche vertretene Beschwerdeführer sodann im Rahmen seiner Mitwirkungspflicht (Art. 8 AsylG) bis heute auch nicht durch medizinische Unterlagen belegt. Es ist weder substantiiert dargelegt, ob er überhaupt an psychischen Problemen leidet, noch welchen Schweregrad diese aufweisen würden. Damit gelingt es ihm nicht, eine flüchtlingsrechtlich relevante Traumatisierung (vgl. dazu Urteil des BVGer D-4159/2006 vom 24. April 2009 E. 4.3 sowie Entscheidungen und Mitteilungen der Schweizerischen Asylrekurskommission [EMARK] 1995 Nr. 16 E. 6) glaubhaft darzulegen (zu den entsprechenden Anforderungen an das Glaubhaftmachen vgl. das bereits unter E. 3.3 Ausgeführte).</w:t>
      </w:r>
    </w:p>
    <w:p>
      <w:r>
        <w:rPr>
          <w:b/>
        </w:rPr>
        <w:t>E. 8.1</w:t>
      </w:r>
    </w:p>
    <w:p>
      <w:r>
        <w:t>Der Beschwerdeführer macht des Weiteren sinngemäss geltend, die positiven politischen Veränderungen in seinem Heimatland seien noch zu fragil, um von einer neuen stabilen Situation ausgehen zu können. Die Gefahr vor Verfolgung sei für ihn nach wie vor aktuell.</w:t>
      </w:r>
    </w:p>
    <w:p>
      <w:r>
        <w:rPr>
          <w:b/>
        </w:rPr>
        <w:t>E. 8.2</w:t>
      </w:r>
    </w:p>
    <w:p>
      <w:r>
        <w:t>Im April 2018 wurde in Äthiopien ein neuer Premierminister ernannt. Im Referenzurteil D-6630/2018 vom 6. Mai 2019 zur Lage in Äthiopien (welches nach dem vom Beschwerdeführer zitierten Urteil D-6086/2015 des BVGer vom 30. Januar 2019 erging) hielt das Bundesverwaltungsgericht fest, die Situation habe sich mit dem Amtsantritt von Abiy Ahmed als erstem Präsidenten des Landes mit Oromo-Volkszugehörigkeit und den damit einhergehenden Reformen deutlich verbessert (vgl. a.a.O. E. 7.3). Seit seinem Amtsantritt befindet sich das Land in einer Umbruchsituation. Abiy Ahmed unternimmt Anstrengungen, in vielen Bereichen Reformen anzustossen oder durchzuführen. Dies betrifft auch den Umgang mit regierungskritischen Personen, gegen die das früher herrschende Regime bisher mit grosser Härte vorging. Die neue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Zahlreiche politische Bewegungen wurden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a.a.O. E. 7). Das Land leidet indes nach wie vor unter ethnischen Konflikten - aktuell insbesondere in der kriegsgeplagten Region Tigray, deren Sezession nicht mehr unwahrscheinlich ist (vgl. Der Tagesspiegel: Nach den Kämpfen in Tigray, 7. Juli 2021; https://www.tagesspiegel.de/politik/nach-den-kaempfen-in-tigray-aethiopien-droht-zu-zerbrechen/27400772.html; abgerufen am 8. Juli 2021). Es gibt jedoch grundsätzlich keine Anzeichen dafür, dass zurückgekehrte Kritikerinnen und Kritiker der (vormaligen) Regierung systematisch verfolgt und inhaftiert würden (vgl. Urteil des BVGer E-568/2020 vom 7. Juli 2021 E 6.3.1 m.w.H.). Gerade im Falle des Beschwerdeführers ist in diesem Zusammenhang festzuhalten, dass das von ihm geschilderte politische Engagement - auch wenn er gemäss seinen Vorbringen dafür schwere Misshandlungen erlitten haben soll - sich im Grunde in einer einzigen Demonstrationsteilnahme im Jahre 20(...) erschöpft. Seinen Vorbringen lässt sich sodann auch nicht entnehmen, dass die geltend gemachte Tötung des Vaters im Jahre 20(...) für die Behörden im Zusammenhang mit seiner eigenen Verfolgung in irgendeiner Weise relevant gewesen wäre. Aufgrund des Ausgeführten und auch in Anbetracht der niederschwelligen politischen Tätigkeit des Beschwerdeführers, ist nicht davon auszugehen, er sei zum heutigen Zeitpunkt im Heimatland einer aktuellen flüchtlingsrechtlich relevanten Verfolgungsgefahr ausgesetzt.</w:t>
      </w:r>
    </w:p>
    <w:p>
      <w:r>
        <w:rPr>
          <w:b/>
        </w:rPr>
        <w:t>E. 8.3</w:t>
      </w:r>
    </w:p>
    <w:p>
      <w:r>
        <w:t>Zusammenfassend ist festzuhalten, dass die Vorinstanz die Flüchtlingseigenschaft des Beschwerdeführers zu Recht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 wie bereits die Vorinstanz zutreffend feststellt - im vorliegenden Verfahren keine Anwendung finden.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Solches ist nicht ersichtlich. Die allgemeine Menschenrechtssituation in Äthiopien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Das Bundesverwaltungsgericht geht in konstanter Praxis von der grundsätzlichen Zumutbarkeit des Wegweisungsvollzugs nach Äthiopien aus. Trotz der weiterhin herrschenden ethnischen Spannungen und Protestbewegungen in Äthiopien ist die allgemeine Lage - mit Ausnahme der nördlichen Konfliktregion Tigray (vgl. dazu bereits E. 8.2) - nicht generell durch Krieg, Bürgerkrieg oder durch eine Situation allgemeiner Gewalt gekennzeichnet, aufgrund derer die Zivilbevölkerung allgemein als konkret gefährdet zu bezeichnen wäre (vgl. aus jüngster Zeit die Urteile des BVGer E-2496/2021 E. 9.3 vom sowie E-568/2020 E. 8.3, beide vom 7. Juli 2021).</w:t>
      </w:r>
    </w:p>
    <w:p>
      <w:r>
        <w:rPr>
          <w:b/>
        </w:rPr>
        <w:t>E. 10.3.2</w:t>
      </w:r>
    </w:p>
    <w:p>
      <w:r>
        <w:t>Der Beschwerdeführer verfügt in Äthiopien mit seiner Mutter und seinen Geschwistern über ein tragfähiges familiäres Beziehungsnetz und es kann angenommen werden, er könne - wie bisher - seinen Lebensunterhalt als (...) aus (...) bestreiten. Sodann ist anzunehmen, dass er auf die Unterstützung seines Onkels zählen kann, welcher ihm bereits im Zusammenhang mit seinem Gefängnisaufenthalt geholfen hat. Allfällige psychische Leiden sind auch in seinem Heimatstaat behandelbar (vgl. etwa das Urteil E-592/2019 des BVGer vom 30. März 2021 E. 8.3.5 m.w.H.). Der Wegweisungsvollzug erweist sich mithin auch in individueller Hinsicht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 ihm mit Zwischenverfügung vom 12. August 2019 die unentgeltliche Prozessführung gewährt wurde und den Akten keine Hinweise für Veränderungen seiner finanziellen Verhältnisse zu entnehmen sind, sind keine Verfahrenskosten zu erheben (Art. 1-3 des Reglements vom 21. Februar 2008 über die Kosten und Entschädigungen vor dem Bundesverwaltungsgericht [VGKE, SR 173.320.2]).</w:t>
      </w:r>
    </w:p>
    <w:p>
      <w:r>
        <w:rPr>
          <w:b/>
        </w:rPr>
        <w:t>E. 12.2</w:t>
      </w:r>
    </w:p>
    <w:p>
      <w:r>
        <w:t>Die bis am 27. November 2019 für den Beschwerdeführer tätige Rechtsbeiständin reichte mit Eingabe vom 19. November 2019 eine ergänzte Kostennote ein. Aufgrund der Aktenlage und mangels anderweitiger Indizien ist daher davon auszugehen, dass sie den Honoraranspruch an die Caritas Schweiz abgetreten hat. Insgesamt werden ein zeitlicher Aufwand von 10 Stunden und 25 Minuten zu einem Stundensatz von Fr. 193.85 (inkl. Mehrwertsteuer) sowie Barauslagen von Fr. 54.- geltend gemacht. Der deklarierte Zeitaufwand erweist sich als zu hoch und ist auf acht Stunden zu reduzieren. Der in der Rechtsmitteleingabe geltend gemachte Stundenansatz ist sodann auf Fr. 150.- zu reduzieren (vgl. Zwischenverfügung vom 12. August 2019) und die nicht weiter ausgewiesene Pauschale für Auslagen von Fr. 54.- ist auf Fr. 30.- zu kürzen. Das auszurichtende Honorar ist auf insgesamt Fr. 1'322.- festzusetzen (inklusive Auslagen und Mehrwertsteuer). Die aktuell mandatierte Rechtsbeiständin reichte keine Eingabe beim Gericht ein und macht auch keinen Vertretungsaufwand geltend.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