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E-3897/2016 vom 28. Juni 2016</w:t>
      </w:r>
    </w:p>
    <w:p>
      <w:r>
        <w:t>Bundesverwaltungsgericht, 2016-06-28, DE</w:t>
      </w:r>
    </w:p>
    <w:p>
      <w:r>
        <w:rPr>
          <w:b/>
        </w:rPr>
        <w:t xml:space="preserve">Quelle: </w:t>
      </w:r>
      <w:r>
        <w:t>https://mcp.opencaselaw.ch/entscheid/bvger_E-3897_2016</w:t>
      </w:r>
    </w:p>
    <w:p>
      <w:r>
        <w:t>FR: TAF E-3897/2016 du 28 juin 2016</w:t>
      </w:r>
    </w:p>
    <w:p>
      <w:r>
        <w:t>IT: TAF E-3897/2016 del 28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zuständige Mitgliedstaat verpflichtet, einen Antragsteller, der während der Prüfung seines Antrages in einem anderen Mitgliedstaat einen Antrag gestellt hat,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 in der angefochtenen Verfügung aus, die italienischen Behörden hätten das Übernahmeersuchen der Schweiz gutgeheissen. Die Zuständigkeit zur Durchführung des Asyl- und Wegweisungsverfahrens liege somit bei Italien. Hinweise, dass die Beschwerdeführerin gravierenden Menschenrechtsverletzungen im Sinne von Art. 3 EMRK ausgesetzt wäre, würden keine vorliegen. Systemische Mängel gebe es in Italiens Asyl- und Aufnahmesystem keine. Ihr angeblicher Ehemann könne bis zum jetzigen Zeitpunkt nicht in der Schweiz als Asylsuchender festgestellt werden und die geltend gemachte Beziehung sei nicht als dauerhafte Beziehung im Sinne von Art. 8 EMRK zu werten. Für einen Selbsteintritt der Schweiz lägen keine Gründe vor.</w:t>
      </w:r>
    </w:p>
    <w:p>
      <w:r>
        <w:rPr>
          <w:b/>
        </w:rPr>
        <w:t>E. 4.2</w:t>
      </w:r>
    </w:p>
    <w:p>
      <w:r>
        <w:t>Die Beschwerdeführerin stellt die grundsätzliche Zuständigkeit Italiens zu Recht nicht in Abrede. Sie beruft sich indes auf Art. 10 und 11 Dublin-III-VO und bringt vor, sie sei verheiratet und das Asylgesuch ihres Mannes werde in der Schweiz geprüft, weshalb die Schweiz auch für ihr Asylgesuch zuständig sei.</w:t>
      </w:r>
    </w:p>
    <w:p>
      <w:r>
        <w:rPr>
          <w:b/>
        </w:rPr>
        <w:t>E. 4.2.1</w:t>
      </w:r>
    </w:p>
    <w:p>
      <w:r>
        <w:t>Die Bestimmung von Art. 10 und 11 Dublin-III-VO verweisen über das Wort "Familienangehörige" auf Art. 2 Bst. b der Verordnung. Familienangehörige im Sinne dieser Bestimmung sind unter anderem Ehegatten des Antragsstellers oder sein nicht verheirateter Partner, der mit dem Antragsteller eine dauerhafte Beziehung führt, soweit nach dem Recht oder nach den Gepflogenheiten des Mitgliedstaates nicht verheiratete Paare ausländerrechtlich vergleichbar behandelt werden wie verheiratete Paare.</w:t>
      </w:r>
    </w:p>
    <w:p>
      <w:r>
        <w:rPr>
          <w:b/>
        </w:rPr>
        <w:t>E. 4.2.2</w:t>
      </w:r>
    </w:p>
    <w:p>
      <w:r>
        <w:t>Nach allgemeinen prozessualen Grundsätzen muss den Bestand eines Familienverhältnisses nachweisen oder zumindest glaubhaft machen, wer ein Familienverhältnis behauptet (Art. 7 AsylG). Der Beschwerdeführerin kann eine Eheschliessung weder nachweisen noch glaubhaft machen. Sie behauptet, sie habe am (...) in Libyen geheiratet. Auf die Frage, wo sie genau geheiratet hätten, bringt die Beschwerdeführerin vor, sie wisse es nicht, es sei in einem Lager gewesen. Sie wisse nicht, wo. Auch auf die Frage, wer sie getraut habe, kann sie keine Antwort geben. Sie führt einzig aus, es sei ein Scheich gewesen (SEM-Akten, A7/12 S. 4). Hätte sie in Libyen tatsächlich geheiratet, wäre zu erwarten gewesen, dass sie den Trauungsort und die Person, welche die Trauung durchgeführt hat, benennen kann. Da sie keine Angaben dazu machen kann, ist die Behauptung nicht glaubhaft. Weiter reicht die Beschwerdeführerin keinerlei Dokumente zu den Akten, die den Nachweis einer Eheschliessung erbringen könnten. Das stereotype Vorbringen, die Heiratsurkunde sei auf der Überfahrt von Libyen nach Italien ins Wasser gefallen, vermag nicht zu überzeugen. Selbst wenn es zutreffen sollte, wäre immer noch zu erwarten gewesen, dass die Beschwerdeführerin über weitere Dokumente verfügt wie zum Beispiel Fotos der Trauung oder Registerauszüge. Auch solche Dokumente finden sich jedoch nicht in den Akten. Die Beschwerdeführerin kann sich auch nicht auf Art. 8 EMRK berufen. Wie die Vorinstanz zutreffend ausführt, lässt sich keine dauerhafte Beziehung im Sinne der Dublin-III-Verordnung annehmen; daran ändert auch der Umstand nichts, dass der angebliche Ehemann zwischenzeitlich als Asylsuchender in der Schweiz identifiziert wurde. Um Wiederholungen zu vermeiden, ist auf die Ausführungen in der angefochtenen Verfügung zu verweisen. Die Beschwerdeführerin gilt somit nicht als Familienangehörige ihres angeblichen Ehemannes, womit die Art. 10 und 11 Dublin-III-VO nicht anwendbar sind. Die Vorinstanz hat die italienischen Behörden - gestützt auf Art. 18 Abs. 1 Bst. b Dublin-III-VO - um Wiederaufnahme ersucht. Dem Ersuchen stimmten sie zu. Italien ist für die Durchführung des Asyl- und Wegweisungsverfahrens zuständig.</w:t>
      </w:r>
    </w:p>
    <w:p>
      <w:r>
        <w:rPr>
          <w:b/>
        </w:rPr>
        <w:t>E. 4.3</w:t>
      </w:r>
    </w:p>
    <w:p>
      <w:r>
        <w:t>Die Beschwerdeführerin bringt weiter vor, als alleinstehende Frau sei sie eine besonders verletzliche Person. In Italien würden Flüchtlinge auf der Strasse oder in Abbruchhäusern leben.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 Mängel an Unterstützung und Einrichtungen für Asylsuchende fest (vgl. Urteil des EGMR Mohammed Hussein und andere gegen Niederlande vom 2. April 2013, 27725/10; siehe zu Italien auch: Urteil des EGMR A.S. gegen Schweiz vom 30. Juni 2015, 39350/13). Es liegen keine Anhaltspunkte dafür vor, dass Italien im vorliegenden Fall seine staatsvertraglichen Verpflichtungen missachten würde und die Beschwerdeführerin einer menschenunwürdigen oder erniedrigenden Behandlung ausgesetzt wäre (Art. 3 EMRK); Art. 3 Abs. 2 Satz 2 Dublin-III-VO greift nicht. Im Übrigen handelt es sich bei der Beschwerdeführerin um eine junge gesunde Frau. Aus den eingereichten Dokumenten kann sie nichts zu ihren Gunsten ableiten.</w:t>
      </w:r>
    </w:p>
    <w:p>
      <w:r>
        <w:rPr>
          <w:b/>
        </w:rPr>
        <w:t>E. 4.4</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an die Vorinstanz besteht nach dem Gesagten kein Anlass. Die Beschwerde ist abzuweisen. Mit dem vorliegenden Urteil ist der Antrag auf Gewährung der aufschiebenden Wirkung sowie der Antrag, die Vollzugsbehörden seien anzuweisen, von Vollzugshandlungen abzusehen, gegenstandslos geworden.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 ihr Begehren als aussichtslos zu gelten hat, kann den Gesuchen um Gewährung der unentgeltlichen Prozessführung und der unentgeltlichen Rechtsverbeiständung nicht stattgegeben werden. Der Antrag auf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