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E-3892/2012 vom 20. November 2013</w:t>
      </w:r>
    </w:p>
    <w:p>
      <w:r>
        <w:t>Bundesverwaltungsgericht, 2013-11-20, DE</w:t>
      </w:r>
    </w:p>
    <w:p>
      <w:r>
        <w:rPr>
          <w:b/>
        </w:rPr>
        <w:t xml:space="preserve">Quelle: </w:t>
      </w:r>
      <w:r>
        <w:t>https://mcp.opencaselaw.ch/entscheid/bvger_E-3892_2012</w:t>
      </w:r>
    </w:p>
    <w:p>
      <w:r>
        <w:t>FR: TAF E-3892/2012 du 20 novembre 2013</w:t>
      </w:r>
    </w:p>
    <w:p>
      <w:r>
        <w:t>IT: TAF E-3892/2012 del 20 novembre 2013</w:t>
      </w:r>
    </w:p>
    <w:p>
      <w:pPr>
        <w:pStyle w:val="Heading2"/>
      </w:pPr>
      <w:r>
        <w:t>Regeste</w:t>
      </w:r>
    </w:p>
    <w:p>
      <w:r>
        <w:t>Asylwiderruf</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Gemäss Art. 63 Abs. 2 AsylG widerruft das BFM das Asyl, wenn ein Flüchtling die innere oder die äussere Sicherheit der Schweiz verletzt hat oder gefährdet oder wenn er besonders verwerfliche strafbare Handlungen begangen hat. Ein solcher Widerruf setzt gemäss konstanter Rechtsprechung eine qualifizierte Asylunwürdigkeit im Sinne von Art. 53 AsylG voraus; mithin muss die "besonders verwerfliche Handlung" qualitativ eine Stufe über der im Sinne von Art. 53 AsylG "verwerflichen Handlung" stehen. Die in Frage stehende Straftat muss demnach mit einer erheblichen Strafe bedroht sein und eine gewisse Intensität aufweisen. Zudem muss bei der Würdigung einer strafbaren Handlung als "besonders verwerflich" im Sinne von Art. 63 Abs. 2 AsylG der Grundsatz der Verhältnismässigkeit beachtet werden (vgl. Entscheidungen und Mitteilungen der Schweizerischen Asyl­rekurskommission [EMARK] 2003 Nr. 11). Nach aktueller Praxis gelten (weiterhin) diejenigen Taten als "verwerfliche Handlungen" im Sinne von Art. 53 AsylG, die mit einer Freiheitsstrafe von mehr als drei Jahren bedroht sind (vgl. dazu das Urteil D-2604/2012 vom 31. Mai 2012 E. 4.4).</w:t>
      </w:r>
    </w:p>
    <w:p>
      <w:r>
        <w:rPr>
          <w:b/>
        </w:rPr>
        <w:t>E. 5.1</w:t>
      </w:r>
    </w:p>
    <w:p>
      <w:r>
        <w:t>Der Beschwerdeführer hat eine Straftat verübt, die in Anbetracht der Ausführungen in E. 4 als verwerflich im Sinne von Art. 53 AsylG zu erachten ist. Er wurde mit zweitinstanzlichem Urteil des Kantonsgerichts C._______ vom (...) Mai 2011 rechtskräftig wegen schwerer Widerhandlung gegen das BetmG zu 33 Monaten Freiheitsstrafe verurteilt, davon neun Monate vollziehbar unter Anrechnung der Untersuchungshaft von 180 Tagen. Für 24 Monate wurde der Vollzug aufgeschoben, mit einer Probezeit von drei Jahren. Art. 19 Abs. 2 BetmG sieht, wie das BFM zu Recht feststellt, eine Freiheitsstrafe von nicht unter einem Jahr bis zu zwanzig Jahren vor. Dieses Delikt ist somit als "verwerflich" im Sinne von Art. 53 AsylG zu qualifizieren.</w:t>
      </w:r>
    </w:p>
    <w:p>
      <w:r>
        <w:rPr>
          <w:b/>
        </w:rPr>
        <w:t>E. 5.2</w:t>
      </w:r>
    </w:p>
    <w:p>
      <w:r>
        <w:t>Weiter ist zu prüfen, ob die betreffende Straftat auch als "besonders" verwerflich im Sinne von Art. 63 Abs. 2 AsylG zu qualifizieren ist. Dies ist zu bejahen. Das vom Beschwerdeführer begangene Delikt wird als "schwerer Fall" bezeichnet. Zur Vermeidung von Wiederholungen kann auf die unter Hinweis auf die Rechtsprechung gemachten Ausführungen in der angefochtenen Verfügung verwiesen werden (vgl. Bst. D). Die in diesem Zusammenhang in der Rechtsmitteleingabe gemachten Einwände und Entgegnungen (Er habe zwar eine verwerfliche, nicht aber eine besonders verwerfliche Tat begangen.) erweisen sich dabei als unbegründet.</w:t>
      </w:r>
    </w:p>
    <w:p>
      <w:r>
        <w:rPr>
          <w:b/>
        </w:rPr>
        <w:t>E. 5.3</w:t>
      </w:r>
    </w:p>
    <w:p>
      <w:r>
        <w:t>Schliesslich ist bei der Würdigung des betreffenden Deliktes als besonders verwerflich im Sinne von Art. 63 Abs. 2 AsylG das Kriterium der Verhältnismässigkeit zu berücksichtigen. Der mit einer behördlichen Anordnung verbundene Eingriff darf demnach für den Betroffenen im Vergleich zur Bedeutung des verfolgten öffentlichen Interesses nicht unangemessen schwer wiegen (vgl. EMARK 2003 Nr. 11 E. 7 S.75). In der Rechtsmitteleingabe wird ausgeführt, ihm sei insbesondere zu Gute zu halten, dass es sich um eine einmalige Verurteilung handle und er nicht rückfällig geworden sei, sich im Strafvollzug und in der Probezeit wohl verhalten habe und in geordneten Umständen lebe, was auch zum Aufschub des Strafvollzugs geführt habe. Zudem sei er reuig und ihm könne eine positive Prognose ausgestellt werden. Diese Ausführungen sind jedoch nicht geeignet, an den vorstehenden Erwägungen hinsichtlich der Qualifizierung der verübten Straftat als besonders verwerflich etwas zu ändern. Der Asylwiderruf stellt einen verwaltungsrechtlichen Akt dar, der das Resultat der entsprechenden erfüllten Voraussetzungen ist. Verhältnismässig ist der Widerruf des Asyls insbesondere deshalb, weil er die Aberkennung der Flüchtlingseigenschaft nicht einschliesst, womit sich der Verlust des Asylstatus nicht unmittelbar nachteilig für den Beschwerdeführer auswirkt. Dieser hat weiterhin ein Anwesenheitsrecht in der Schweiz. Nebst der nicht widerrufenen kantonalen Niederlassungsbewilligung verfügt er als Flüchtling weiterhin über den Non-Refoulement-Schutz gemäss Art. 33 des Abkommens vom 28. Juli 1951 über die Rechtsstellung der Flüchtlinge (FK, SR 0.142.30) und Art. 5 AsylG. Zudem ist er - bei einem allfälligen Widerruf der Niederlassungsbewilligung - als Flüchtling besser gestellt als die übrigen vorläufig Aufgenommenen. Demnach stehen dem öffentlichen Interesse an der Bekämpfung und Prävention strafbaren Handelns (und mithin einem Asylwiderruf wegen Begehens einer besonders verwerflichen Straftat), wie das BFM zu Recht festgestellt hat, keine überwiegenden privaten Interessen des Beschwerdeführers gegenüber. Nach dem Gesagten erweist sich der Asylwiderruf als verhältnismässig.</w:t>
      </w:r>
    </w:p>
    <w:p>
      <w:r>
        <w:rPr>
          <w:b/>
        </w:rPr>
        <w:t>E. 6</w:t>
      </w:r>
    </w:p>
    <w:p>
      <w:r>
        <w:t>Aus diesen Erwägungen folgt, dass die angefochtene Verfügung Bundesrecht nicht verletzt, den rechtserheblichen Sachverhalt richtig und vollständig feststellt und angemessen ist (Art. 106 AsylG). Die Beschwerde ist somit abzuweisen. 7.Die Kosten des Verfahrens sind demnach dem Beschwerdeführer aufzuerlegen (Art. 63 Abs. 1 VwVG) und auf Fr. 600.- festzusetzen (Art. 1-3 des Regle­ments vom 21. Februar 2008 über die Kosten und Entschädigungen vor dem Bundesverwaltungsgericht [VGKE, SR 173.320.2]). Dieser Betrag ist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