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E-3889/2019 vom 5. Juli 2021</w:t>
      </w:r>
    </w:p>
    <w:p>
      <w:r>
        <w:t>Bundesverwaltungsgericht, 2021-07-05, FR</w:t>
      </w:r>
    </w:p>
    <w:p>
      <w:r>
        <w:rPr>
          <w:b/>
        </w:rPr>
        <w:t xml:space="preserve">Quelle: </w:t>
      </w:r>
      <w:r>
        <w:t>https://mcp.opencaselaw.ch/entscheid/bvger_E-3889_2019</w:t>
      </w:r>
    </w:p>
    <w:p>
      <w:r>
        <w:t>FR: TAF E-3889/2019 du 5 juillet 2021</w:t>
      </w:r>
    </w:p>
    <w:p>
      <w:r>
        <w:t>IT: TAF E-3889/2019 del 5 luglio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dès lors compétent pour connaître du recours.</w:t>
      </w:r>
    </w:p>
    <w:p>
      <w:r>
        <w:rPr>
          <w:b/>
        </w:rPr>
        <w:t>E. 1.2</w:t>
      </w:r>
    </w:p>
    <w:p>
      <w:r>
        <w:t>La présente procédure est soumise à l'ancien droit (cf. dispositions transitoires de la modification du 25 septembre 2015, al. 1 LAsi).</w:t>
      </w:r>
    </w:p>
    <w:p>
      <w:r>
        <w:rPr>
          <w:b/>
        </w:rPr>
        <w:t>E. 1.3</w:t>
      </w:r>
    </w:p>
    <w:p>
      <w:r>
        <w:t>A._______ a qualité pour recourir. Présenté dans la forme et le délai prescrits par la loi, le recours est recevable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w:t>
      </w:r>
    </w:p>
    <w:p>
      <w:r>
        <w:t>Il y a lieu d'examiner, à titre liminaire, le grief formel tiré de la violation du droit d'être entendu formulé par A._______ (cf. supra, Faits D.c).</w:t>
      </w:r>
    </w:p>
    <w:p>
      <w:r>
        <w:rPr>
          <w:b/>
        </w:rPr>
        <w:t>E. 3.1</w:t>
      </w:r>
    </w:p>
    <w:p>
      <w:r>
        <w:t>La jurisprudence a notamment déduit du droit d'être entendu, garanti à l'art. 29 al. 2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(cf. ATAF 2013/56 consid. 3.1 ; voir aussi arrêt du Tribunal fédéral 2A.496/2006 et 2A.497/2006 du 15 octobre 2007 consid. 5.1.1; ATF 112 Ia 107 consid. 2b p. 107). Lorsque l'on peut discerner les motifs qui fondent une décision, le droit à une décision motivée est respecté, même si la motivation retenue est erronée (cf. arrêts du Tribunal fédéral 1B_195/2010 du 13 juillet 2010 consid. 2.2 et 1C_35/2009 du 29 mai 2009 consid. 3).</w:t>
      </w:r>
    </w:p>
    <w:p>
      <w:r>
        <w:rPr>
          <w:b/>
        </w:rPr>
        <w:t>E. 3.2</w:t>
      </w:r>
    </w:p>
    <w:p>
      <w:r>
        <w:t>En l'espèce, le Tribunal constate que le SEM a exposé, bien que de manière relativement succincte, les raisons qui l'ont amené à conclure que le recourant pouvait bénéficier d'une protection adéquate de la part des autorités colombiennes (cf. décision querellée, p. 3, §2), et que son renvoi n'enfreignait pas l'art. 3 CEDH (cf. ibidem, p. 4, § 3 s.). La motivation du recours montre que l'intéressé a compris ces raisons. En invoquant une violation du devoir d'instruction et de motivation du SEM, l'intéressé conteste en réalité le bien-fondé de la décision, qu'il a pu attaquer en toute connaissance de cause, tandis que le Tribunal est à même d'exercer son contrôle.</w:t>
      </w:r>
    </w:p>
    <w:p>
      <w:r>
        <w:rPr>
          <w:b/>
        </w:rPr>
        <w:t>E. 3.3</w:t>
      </w:r>
    </w:p>
    <w:p>
      <w:r>
        <w:t>Sur le vu de ce qui précède, le grief tiré d'une violation du droit d'être entendu s'avère mal fondé.</w:t>
      </w:r>
    </w:p>
    <w:p>
      <w:r>
        <w:rPr>
          <w:b/>
        </w:rPr>
        <w:t>E. 4</w:t>
      </w:r>
    </w:p>
    <w:p>
      <w:r>
        <w:t>Il convient ensuite d'examiner la pertinence des motifs d'asile du recourant.</w:t>
      </w:r>
    </w:p>
    <w:p>
      <w:r>
        <w:rPr>
          <w:b/>
        </w:rPr>
        <w:t>E. 4.1</w:t>
      </w:r>
    </w:p>
    <w:p>
      <w:r>
        <w:t>A._______ a allégué en substance être menacé par des tiers. Il aurait notamment été pris à partie et menacé de mort par un individu se réclamant, selon les propos tenus lors de l'audition du 13 juin 2018, du (...).</w:t>
      </w:r>
    </w:p>
    <w:p>
      <w:r>
        <w:rPr>
          <w:b/>
        </w:rPr>
        <w:t>E. 4.2</w:t>
      </w:r>
    </w:p>
    <w:p>
      <w:r>
        <w:t>Une persécution non étatique peut être pertinente en droit d'asile (cf. jurisprudence et information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4.3</w:t>
      </w:r>
    </w:p>
    <w:p>
      <w:r>
        <w:t>Comme le Tribunal a déjà eu l'occasion de le préciser, la Colombie dispose en principe, par l'intermédiaire de la mise en place notamment d'un programme de protection des témoins, de structures visant à protéger ses citoyens, en particulier d'un appareil policier et d'un système judiciaire relativement adéquats (cf. arrêts du Tribunal E-6883/2019 du 12 février 2020 consid. 4.4 et E-306/2019 du 9 septembre 2019 consid. 3.3). Les griefs du recourant à l'encontre de l'UNP et les rapports produits ne sont pas, sur le principe toujours, de nature à modifier cette appréciation.</w:t>
      </w:r>
    </w:p>
    <w:p>
      <w:r>
        <w:rPr>
          <w:b/>
        </w:rPr>
        <w:t>E. 4.4.1</w:t>
      </w:r>
    </w:p>
    <w:p>
      <w:r>
        <w:t>S'agissant de la volonté de protection manifestée par les autorités colombiennes, le SEM a relevé que, de manière générale, celles-ci combattent les activités des dissidents et des groupes mafieux (cf. décision querellée, p. 3, §2 ; sur ce point, cf. notamment : www.letemps.ch/monde/dix-dissidents-farc-tues-un-bombardement-larmee-colombie, lien consulté le 25 mai 2021).</w:t>
      </w:r>
    </w:p>
    <w:p>
      <w:r>
        <w:rPr>
          <w:b/>
        </w:rPr>
        <w:t>E. 4.4.2</w:t>
      </w:r>
    </w:p>
    <w:p>
      <w:r>
        <w:t>Dans le cas d'espèce, on ne saurait d'abord reprocher auxdites autorités de s'être « renvoyé la balle » face aux plaintes du recourant, comme mentionné dans le courrier précité du directeur de « C._______ » du (...) avril 2018 (cf. pièce SEM A17/33). Dès lors que l'intéressé entendait rapporter une infraction, le fait que l'Ombudsman et le Médiateur municipal de B._______ l'aient renvoyé à s'adresser à une autorité de poursuite pénale ne paraît pas surprenant. On peut en revanche s'étonner, vu le grave danger qu'il prétendait courir, de la facilité avec laquelle le recourant se serait senti « un peu découragé par toutes ces démarches » (cf. pièce SEM A17/33) lorsqu'il aurait été invité par le Bureau du Procureur à s'adresser à l'URI, cette dernière en faisant apparemment partie intégrante et se situant en outre à la même adresse (cf. http://www.legalapp.gov.co/buscador-gsa?q=GENERAL+DE+GENERAL+DE+&amp;inmeta=departamento!HUILA, lien consulté le 25 mai 2021).</w:t>
      </w:r>
    </w:p>
    <w:p>
      <w:r>
        <w:rPr>
          <w:b/>
        </w:rPr>
        <w:t>E. 4.4.3</w:t>
      </w:r>
    </w:p>
    <w:p>
      <w:r>
        <w:t>On ne peut ensuite tirer aucune conclusion définitive du fait que la plainte que le recourant souhaitait déposer le (...) avril 2018 relativement aux faits du (...) mars précédent n'aurait pas été enregistrée par le fonctionnaire de l'URI - ce dernier ayant expliqué à l'intéressé la raison de son refus, soit le fait qu'il n'y avait pas eu d'« attaque » à proprement parler - sans qu'on puisse au surplus se prononcer sur le bien-fondé ou la licéité de ce refus à l'aune des règles et pratiques de cette autorité. Il est permis de supposer que le fait que la dénonciation intervienne près d'un mois après l'intrusion rapportée dans les bureaux du journal, sans que l'individu n'ait réitéré directement ses menaces ou tenté de les mettre à exécution dans l'intervalle, a pu conforter le fonctionnaire précité dans son appréciation. C'est le lieu de souligner que, selon toute vraisemblance, ce type d'intimidations et de menaces est fortement répandu dans le pays et que, du point de vue des autorités de police, l'intéressé ne présentait certainement pas un profil particulièrement à risque.</w:t>
      </w:r>
    </w:p>
    <w:p>
      <w:r>
        <w:rPr>
          <w:b/>
        </w:rPr>
        <w:t>E. 4.4.4</w:t>
      </w:r>
    </w:p>
    <w:p>
      <w:r>
        <w:t>En outre, il ne peut être exclu que le passage du recourant dans les locaux de l'URI, quand bien même sa plainte n'aurait pas été formellement enregistrée, ait suffi pour que le Ministère public ordonne la visite de police du 25 avril 2018 dans les locaux de « C._______ », indépendamment de la lettre du directeur du journal du (...) avril 2018 (cf. pièce SEM A17/33). A tout le moins, il n'est pas démontré que « plusieurs courriers » du directeur auraient été nécessaires pour obtenir cette visite, comme le mentionne l'intéressé (cf. mémoire de recours, p. 5, avant-dernier §). Par ailleurs, le fait que seul le Médiateur municipal aurait répondu au courrier précité n'apparaît pas déterminant.</w:t>
      </w:r>
    </w:p>
    <w:p>
      <w:r>
        <w:rPr>
          <w:b/>
        </w:rPr>
        <w:t>E. 4.4.5</w:t>
      </w:r>
    </w:p>
    <w:p>
      <w:r>
        <w:t>Quoi qu'il en soit, la visite de police du 25 avril 2018 témoigne d'une prise en compte par les autorités compétentes des problèmes que le recourant aurait rencontrés. Les employés et l'intéressé auraient été interrogés sur les faits dénoncés (cf. notamment mémoire de recours, p. 15, dernier §). Les recommandations formulées par la police dans le cadre de la visite, bien que générales, ne paraissent pas a priori inadéquates, cela toujours en regard des pratiques en Colombie. De plus, la lettre de confirmation adressée le même jour au directeur du journal suggère que des contrôles de police subséquents auraient été agendés (cf. pièce SEM A17/33). La lettre du directeur de « C._______ » du 25 juillet 2019, annexée au recours, fait d'ailleurs état d'un second passage de la police dans les locaux (point 1). Au vu des circonstances, il n'apparaît pas de prime abord que des mesures supplémentaires, notamment de protection rapprochée du recourant, eussent été manifestement nécessaires. Par ailleurs, aucun élément concret ne corrobore le fait que la mise en garde du policier envers le recourant lors de cette visite puisse être assimilée à une menace.</w:t>
      </w:r>
    </w:p>
    <w:p>
      <w:r>
        <w:rPr>
          <w:b/>
        </w:rPr>
        <w:t>E. 4.4.6</w:t>
      </w:r>
    </w:p>
    <w:p>
      <w:r>
        <w:t>Il n'est pour le surplus pas établi que les autorités colombiennes n'aient pas entrepris d'investigations visant à identifier les auteurs des menaces alléguées ou y aient mis fin de manière injustifiée. Rien n'indique que le recourant ou le directeur du journal aient activement cherché à obtenir des renseignements à ce sujet. La lettre du directeur du journal du 25 juillet 2019, jointe au recours, ne fait qu'attester qu'aucune information n'aurait été spontanément communiquée par la police à ce sujet. Au demeurant, le lien de famille existant entre les protagonistes exige de relativiser la valeur probante de cette attestation, possiblement rédigée à la demande du recourant. Outre qu'il n'est en rien étayé, le fait que la police aurait déclaré à ce dernier connaître l'auteur du message de menaces posté sur Facebook le 4 mai 2018 (cf. supra, Faits B.f), sans mentionner son éventuelle interpellation (cf. procès-verbal de l'audition sur les motifs d'asile, R47), ne suffit pas à établir que les autorités seraient à tort restées inactives. De plus, s'il estimait que tel était le cas, rien n'empêchait l'intéressé de se plaindre, le cas échéant, aux autorités supérieures, ce qu'il n'indique pas avoir fait.</w:t>
      </w:r>
    </w:p>
    <w:p>
      <w:r>
        <w:rPr>
          <w:b/>
        </w:rPr>
        <w:t>E. 4.4.7</w:t>
      </w:r>
    </w:p>
    <w:p>
      <w:r>
        <w:t>Par conséquent, le recourant n'a pas rendu crédible que l'Etat colombien n'aurait pas la capacité, ni qu'il aurait refusé de le protéger contre les représailles qu'il dit risquer de la part de tiers, soit notamment de groupes criminels.</w:t>
      </w:r>
    </w:p>
    <w:p>
      <w:r>
        <w:rPr>
          <w:b/>
        </w:rPr>
        <w:t>E. 4.5</w:t>
      </w:r>
    </w:p>
    <w:p>
      <w:r>
        <w:t>Au vu de ce qui précède, même à admettre la vraisemblance des faits allégués, les motifs d'asile du recourant ne sont pas pertinents, faute pour lui d'avoir épuisé les possibilités de protection dans son pays d'origine avant de solliciter celle d'un Etat tiers. Il ne serait dès lors pas nécessaire d'examiner la possibilité pour l'intéressé de s'établir dans une région de Colombie autre que celle où il était domicilié. On relèvera néanmoins qu'il est jeune, en bonne santé, au bénéfice d'une expérience professionnelle, et donc en mesure de s'installer, si nécessaire, dans une autre partie du pays sans rencontrer de difficultés excessives. Il n'y a pas non plus lieu d'examiner ses autres arguments tendant selon lui à établir l'existence d'une crainte fondée et actuelle de persécution en cas de retour dans son pays, ni les documents censés l'attester. On soulignera toutefois que les rapports et articles produits par l'intéressé, dans la mesure où ils se rapportent aux persécutions visant les journalistes en Colombie, ne permettent pas de retenir qu'il serait lui-même exposé à un tel risque. Les développements contenus dans le mémoire de recours au sujet des « (...) », organisation que le recourant n'a pas mentionnée lors de ses auditions, peuvent a fortiori être écartés. Le Tribunal ne nie en rien les risques liés à certaines activités en Colombie, en particulier celles de journalistes engagés ou d'autres personnes travaillant au sein d'organismes d'influence. En l'occurrence, si le recourant a fait état de menaces à son encontre et à celui d'autres journalistes de « C._______ », il n'en est, apparemment, point que leurs auteurs auraient tenté de mettre à exécution.</w:t>
      </w:r>
    </w:p>
    <w:p>
      <w:r>
        <w:rPr>
          <w:b/>
        </w:rPr>
        <w:t>E. 5</w:t>
      </w:r>
    </w:p>
    <w:p>
      <w:r>
        <w:t>Sur le vu de ce qui précède, c'est à juste titre que le SEM a dénié au recourant la qualité de réfugié. Il s'ensuit que le recours, en tant qu'il conteste le refus de l'asile, doit être rejeté.</w:t>
      </w:r>
    </w:p>
    <w:p>
      <w:r>
        <w:rPr>
          <w:b/>
        </w:rPr>
        <w:t>E. 6</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8.2</w:t>
      </w:r>
    </w:p>
    <w:p>
      <w:r>
        <w:t>L'exécution du renvoi ne contrevient pas au principe de non-refoulement de l'art. 5 LAsi. Comme exposé plus haut (consid. 4.5), le recourant, faute d'avoir épuisé les possibilité de protection offertes dans pays d'origine, n'a pas rendu vraisemblable qu'il serait exposé à de sérieux préjudices au sens de l'art. 3 LAsi en cas de retour.</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recourant, pour les raisons déjà évoquées (cf. consid. 4.5 et 8.2),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8.6</w:t>
      </w:r>
    </w:p>
    <w:p>
      <w:r>
        <w:t>Par conséquent, l'exécution du renvoi du recourant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9.2</w:t>
      </w:r>
    </w:p>
    <w:p>
      <w:r>
        <w:t>En dépit des événements survenus depuis le départ du pays du recourant, soit notamment l'annonce d'un réarmement d'une partie des FARC en septembre 2019, 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E-1226/2021 du 22 avril 2021 consid. 8.3.3).</w:t>
      </w:r>
    </w:p>
    <w:p>
      <w:r>
        <w:rPr>
          <w:b/>
        </w:rPr>
        <w:t>E. 9.3</w:t>
      </w:r>
    </w:p>
    <w:p>
      <w:r>
        <w:t>En outre, il ne ressort du dossier aucun élément dont on pourrait inférer que l'exécution du renvoi impliquerait une mise en danger concrète du recourant. A cet égard, l'autorité de céans rappelle que le recourant est jeune, au bénéfice d'une expérience professionnelle et n'a pas allégué de problème de santé. Au demeurant, l'intéressé dispose d'un réseau familial et social dans son pays, sur lequel il pourra compter à son retour.</w:t>
      </w:r>
    </w:p>
    <w:p>
      <w:r>
        <w:rPr>
          <w:b/>
        </w:rPr>
        <w:t>E. 9.4</w:t>
      </w:r>
    </w:p>
    <w:p>
      <w:r>
        <w:t>Pour ces motifs, l'exécution du renvoi doit être considérée comme raisonnablement exigible.</w:t>
      </w:r>
    </w:p>
    <w:p>
      <w:r>
        <w:rPr>
          <w:b/>
        </w:rPr>
        <w:t>E. 10.1</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10.2</w:t>
      </w:r>
    </w:p>
    <w:p>
      <w:r>
        <w:t>La situation actuelle liée à la propagation dans le monde de la maladie à coronavirus (Covid-19) ne justifie pas de surseoir au présent prononcé.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11</w:t>
      </w:r>
    </w:p>
    <w:p>
      <w:r>
        <w:t>En conséquence, le recours, mal fondé, est rejeté également en tant qu'il porte sur les questions du renvoi et de son exécution.</w:t>
      </w:r>
    </w:p>
    <w:p>
      <w:r>
        <w:rPr>
          <w:b/>
        </w:rPr>
        <w:t>E. 12.1</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RS173.320.2). Toutefois, compte tenu du fait que le recours n'était pas d'emblée voué à l'échec lors de son dépôt, et vu l'indigence du recourant, actuelle au vu des renseignements en possession du Tribunal, il y a lieu d'admettre sa demande d'assistance judiciaire partielle, en application de l'art. 65 al. 1 PA, et de statuer par conséquent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