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E-3889/2012 vom 5. März 2013</w:t>
      </w:r>
    </w:p>
    <w:p>
      <w:r>
        <w:t>Bundesverwaltungsgericht, 2013-03-05, DE</w:t>
      </w:r>
    </w:p>
    <w:p>
      <w:r>
        <w:rPr>
          <w:b/>
        </w:rPr>
        <w:t xml:space="preserve">Quelle: </w:t>
      </w:r>
      <w:r>
        <w:t>https://mcp.opencaselaw.ch/entscheid/bvger_E-3889_2012</w:t>
      </w:r>
    </w:p>
    <w:p>
      <w:r>
        <w:t>FR: TAF E-3889/2012 du 5 mars 2013</w:t>
      </w:r>
    </w:p>
    <w:p>
      <w:r>
        <w:t>IT: TAF E-3889/2012 del 5 marzo 2013</w:t>
      </w:r>
    </w:p>
    <w:p>
      <w:pPr>
        <w:pStyle w:val="Heading2"/>
      </w:pPr>
      <w:r>
        <w:t>Regeste</w:t>
      </w:r>
    </w:p>
    <w:p>
      <w:r>
        <w:t>Vollzug der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richtet sich ausschliesslich gegen die Anordnung des Wegweisungsvollzugs in der Verfügung (Dispositiv Ziff. 4 und 5); im Übrigen ist sie in Rechtskraft erwachsen. Der Prozessgegenstand beschränkt sich somit auf die Frage, ob Vollzugshindernisse vorliegen.</w:t>
      </w:r>
    </w:p>
    <w:p>
      <w:r>
        <w:rPr>
          <w:b/>
        </w:rPr>
        <w:t>E. 2.3</w:t>
      </w:r>
    </w:p>
    <w:p>
      <w:r>
        <w:t>Die Beschwerde erweist sich als offensichtlich unbegründet und ist im Verfahren einzelrichterlicher Zuständigkeit mit Zustimmung eines zweiten Richters (Art. 111 Bst. e AsylG) mit summarischer Begründung zu behandeln (Art. 111a Abs. 1 und 2 AsylG).</w:t>
      </w:r>
    </w:p>
    <w:p>
      <w:r>
        <w:rPr>
          <w:b/>
        </w:rPr>
        <w:t>E. 3.1</w:t>
      </w:r>
    </w:p>
    <w:p>
      <w:r>
        <w:t>Gemäss Art. 44 Abs. 2 AsylG prüft das Bundesamt den Vollzug der Wegweisung und regelt das Anwesenheitsverhältnis nach den gesetzlichen Bestimmungen über die vorläufige Aufnahmen nach dem Bundesgesetz vom 16. Dezember 2005 über die Ausländerinnen und Ausländer (AuG; SR 142.20), wenn der Vollzug der Wegweisung nicht zulässig, nicht zumutbar oder nicht möglich ist.</w:t>
      </w:r>
    </w:p>
    <w:p>
      <w:r>
        <w:rPr>
          <w:b/>
        </w:rPr>
        <w:t>E. 3.2</w:t>
      </w:r>
    </w:p>
    <w:p>
      <w:r>
        <w:t>Der Vollzug der Wegweisung ist nach Art. 83 Abs. 3 AuG unzulässig, wenn völkerrechtliche Verpflichtungen der Schweiz einer Weiterreise der Ausländer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Beschwerdeführenden und den Akten ergeben sich keine konkreten Anhaltspunkte dafür, dass sie für den Fall einer Ausschaffung mit beachtlicher Wahrscheinlichkeit einer nach Art. 3 EMRK oder Art. 1 FoK verbotenen Strafe oder Behandlung ausgesetzt wäre. Der Vollzug der Wegweisung ist somit zulässig.</w:t>
      </w:r>
    </w:p>
    <w:p>
      <w:r>
        <w:rPr>
          <w:b/>
        </w:rPr>
        <w:t>E. 3.3</w:t>
      </w:r>
    </w:p>
    <w:p>
      <w:r>
        <w:t>Der Vollzug kann für Ausländerinnen und Ausländer nach Art. 83 Abs. 4 AuG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3.3.1</w:t>
      </w:r>
    </w:p>
    <w:p>
      <w:r>
        <w:t>Die Vorinstanz hat in der angefochtenen Verfügung ausführlich aufgezeigt, dass es aufgrund des Aussageverhaltens der Beschwerdeführenden nicht möglich ist, die Zumutbarkeit des Wegweisungsvollzugs umfassend und abschliessend zu prüfen. Die Beschwerdeführenden zeigen nicht auf, inwiefern die angefochtene Verfügung Bundesrecht verletzen oder auf einer fehlerhaften Sachverhaltsfeststellung beruhen soll. Solches ist auch nicht ersichtlich. Es trifft zu, dass Ungereimtheiten in den Angaben der Beschwerdeführenden über ihre Wohnorte, Staatsangehörigkeit und Familienverhältnisse bestehen und diese zudem in Widerspruch zu den Abklärungen der schweizerischen Vertretung vor Ort stehen. Es kann vorab auf die zutreffenden vorinstanzlichen Erwägungen verwiesen werden. Ergänzend dazu ist festzuhalten, dass diese Punkte auch im Beschwerdeverfahren nach wie vor unklar sind. Die Klärung dieser Fragen sind indes für die Prüfung der Zumutbarkeit des Wegweisungsvollzugs essentiell. Hierbei ist der Hinweis in der Beschwerde, es sei nicht von Belang, ob den Botschaftsresultaten mehr Glauben geschenkt werde als ihren Angaben, da auch diesfalls nicht von einem tragfähigen Beziehungsnetz ausgegangen werden könne, unbehelflich. Die Beschwerdeführenden sind im Rahmen ihrer Mitwirkungspflicht verpflichtet, an der Feststellung des rechtserheblichen Sachverhalts mitzuwirken. Durch ihren offensichtlichen Unwillen an dessen Feststellung mitzuwirken, haben sie ihre Mitwirkungspflicht verletzt (Art. 8 AsylG). Eine nähere Prüfung von allfälligen Wegweisungsvollzugshindernissen ist deshalb weder möglich noch erforderlich. Denn der Untersuchungsgrundsatz findet seine Grenze an der Mitwirkungspflicht der Beschwerdeführenden. Infolge ihrer Pflichtverletzung sind die Asylbehörden gar nicht in der Lage, allfällige Wegweisungsvollzugshindernisse näher zu prüfen, die damit objektiv beweislos bleiben. Die Folgen der Beweislosigkeit haben die Beschwerdeführenden zu tragen. Schliesslich bleibt festzuhalten, dass auch keine gesundheitlichen Gründe erkennbar sind, die gegen einen Wegweisungsvollzug sprechen. Die Beschwerdeführerin 2 macht geltend, auf medizinische Behandlung in der Schweiz angewiesen zu sein, da sie an einer noch nicht spezifizierten Atemwegserkrankung und Hämorrhoiden leide. Sie belegt dies jedoch in keiner Art und Weise und zeigt mit keinem Wort auf, weshalb sie auf eine Behandlung in der Schweiz angewiesen sein soll. Ihre pauschalen Angaben genügen nicht, um auf eine ernsthafte vollzugshemmende Erkrankung zu schliessen.</w:t>
      </w:r>
    </w:p>
    <w:p>
      <w:r>
        <w:rPr>
          <w:b/>
        </w:rPr>
        <w:t>E. 3.4</w:t>
      </w:r>
    </w:p>
    <w:p>
      <w:r>
        <w:t>Der Wegweisungsvollzug ist schliesslich auch als möglich im Sinne von Art. 83 Abs. 2 AuG zu bezeichnen, da es den Beschwerdeführenden obliegt, sich bei der zuständigen Vertretung des Heimatstaates die für eine Rückkehr notwendigen Reisedokumente zu beschaffen (vgl. Art. 8 Abs. 4 AsylG und dazu auch BVGE 2008/34 E. 12 S. 513 - 515).</w:t>
      </w:r>
    </w:p>
    <w:p>
      <w:r>
        <w:rPr>
          <w:b/>
        </w:rPr>
        <w:t>E. 3.5</w:t>
      </w:r>
    </w:p>
    <w:p>
      <w:r>
        <w:t>Die Vorinstanz hat den Wegweisungsvollzug zusammenfassend zu Recht als zulässig, zumutbar und möglich erachtet, weshalb die Anordnung der vorläufigen Aufnahme ausser Betracht fällt.</w:t>
      </w:r>
    </w:p>
    <w:p>
      <w:r>
        <w:rPr>
          <w:b/>
        </w:rPr>
        <w:t>E. 4</w:t>
      </w:r>
    </w:p>
    <w:p>
      <w:r>
        <w:t>Aus diesen Erwägungen ergibt sich, dass die angefochtene Verfügung Bundesrecht nicht verletzt und auch sonst nicht zu beanstanden ist (vgl. Art. 106 Abs. 1 AsylG). Die Beschwerde ist abzuweisen.</w:t>
      </w:r>
    </w:p>
    <w:p>
      <w:r>
        <w:rPr>
          <w:b/>
        </w:rPr>
        <w:t>E. 5</w:t>
      </w:r>
    </w:p>
    <w:p>
      <w:r>
        <w:t>Dem Ersuchen der Beschwerdeführenden um Gewährung der unentgeltlichen Rechtspflege kann nicht entsprochen werden, weil ihr Begehren als aussichtslos zu gelten hat (Art. 65 Abs. 1 und Abs. 2 VwVG). Die Beschwerdeführenden haben daher die Kosten des vorliegenden Verfahrens zu tragen (Art. 63 Abs. 1 VwVG), die auf Fr. 600.- festzusetzen sind (Art. 1 - 3 des Reglements vom 21. Februar 2008 über die Kosten und Entschädigungen vor dem Bundesverwaltungsgericht [VGKE, SR 173.320.2]). Das Gesuch um Verzicht auf die Erhebung eines Kostenvorschuss ist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