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E-3879/2024 vom 30. Mai 2024</w:t>
      </w:r>
    </w:p>
    <w:p>
      <w:r>
        <w:t>Bundesverwaltungsgericht, 2024-05-30, DE</w:t>
      </w:r>
    </w:p>
    <w:p>
      <w:r>
        <w:rPr>
          <w:b/>
        </w:rPr>
        <w:t xml:space="preserve">Quelle: </w:t>
      </w:r>
      <w:r>
        <w:t>https://mcp.opencaselaw.ch/entscheid/bvger_E-3879_2024_d20240530</w:t>
      </w:r>
    </w:p>
    <w:p>
      <w:r>
        <w:t>FR: TAF E-3879/2024 du 30 mai 2024</w:t>
      </w:r>
    </w:p>
    <w:p>
      <w:r>
        <w:t>IT: TAF E-3879/2024 del 30 maggio 2024</w:t>
      </w:r>
    </w:p>
    <w:p>
      <w:pPr>
        <w:pStyle w:val="Heading2"/>
      </w:pPr>
      <w:r>
        <w:t>Regeste</w:t>
      </w:r>
    </w:p>
    <w:p>
      <w:r>
        <w:t>Asyl und Wegweisung (Mehrfachgesuch) | Asyl und Wegweisung (Mehrfachgesuch); Verfügung des SEM vom 30. Mai 2024</w:t>
      </w:r>
    </w:p>
    <w:p>
      <w:pPr>
        <w:pStyle w:val="Heading2"/>
      </w:pPr>
      <w:r>
        <w:t>Erwägungen</w:t>
      </w:r>
    </w:p>
    <w:p>
      <w:r>
        <w:rPr>
          <w:b/>
        </w:rPr>
        <w:t>E. 17</w:t>
      </w:r>
    </w:p>
    <w:p>
      <w:r>
        <w:t>November 2023 (dort E. 8.3) verwiesen werden kann und sich weder die allgemeine Situation in der Türkei noch die individuelle Situation der Beschwerdeführer aus Sicht des Gerichts seit dem vorangehenden Ver- fahren massgeblich geändert hat, womit der Vollzug der Wegweisung wei- terhin zumutbar ist, dass im Rahmen der Zumutbarkeitsprüfung das Kindeswohl einen weite- ren Gesichtspunkt bildet, wenn von einem Wegweisungsvollzug Kinder be- troffen sind, was sich aus einer völkerrechtskonformen Auslegung von Art. 83 Abs. 4 AIG im Lichte von Art. 3 Abs. 1 des Übereinkommens vom</w:t>
      </w:r>
    </w:p>
    <w:p>
      <w:r>
        <w:rPr>
          <w:b/>
        </w:rPr>
        <w:t>E. 20</w:t>
      </w:r>
    </w:p>
    <w:p>
      <w:r>
        <w:t>November 1989 über die Rechte des Kindes (KRK, SR 0.107) ergibt, dass die Beschwerdeführer seit gut 19 Monaten in der Schweiz leben und zu vermuten ist, dass die heute (…), (…) und (…) Jahre alten Kinder/Ju- gendlichen die Muttersprache der Eltern sprechen sowie durch das Zusam- menleben als Familie mit der kulturellen Herkunft auch verbunden sind be- ziehungsweise keine vollständige Entfremdung zu ihrer Herkunftskultur stattgefunden hat, womit nicht davon auszugehen ist, dass sie in jeder Hin- sicht in eine völlig neue, unbekannte sprachliche und kulturelle Umgebung zurückkehren werden, dass nach dem Gesagten entgegen der Behauptung in der Rechtsmitte- leingabe (Beschwerde S. 30f.) auch nicht davon auszugehen ist, die Kinder könnten bei einer Rückkehr den schulischen sowie den sozialen Anschluss nicht finden (vgl. Urteil des BVGer E-617/2020 vom 31. August 2023), dass entsprechend auch nicht von einer derartigen Verwurzelung in der Schweiz ausgegangen werden kann, welche bei einem Vollzug der Weg- weisung das Kindeswohl ernsthaft gefährden würde (vgl. auch BVGE 2009/28 E. 9.3) und die zu den Akten gereichten Lernberichte an dieser Einschätzung nichts zu ändern vermögen (vgl. Beschwerde, Beilagen 10, 11), dass sich der Vollzug der Wegweisung somit in allgemeiner wie auch in individueller Hinsicht als zumutbar erweist,</w:t>
      </w:r>
    </w:p>
    <w:p>
      <w:r>
        <w:t>E-3879/2024 Seite 8 dass es den Beschwerdeführern obliegt, sich die für ihre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den Beschwerdeführern demnach die Kosten des Verfahrens – wel- che praxisgemäss auf Fr. 2’000.– zu bestimmen sind – aufzuerlegen sind (Art. 63 Abs. 1 VwVG; Art. 1–3 des Reglements vom 21. Februar 2008 über die Kosten und Entschädigungen vor dem Bundesverwaltungsgericht [VGKE, SR 173.320.2]).</w:t>
      </w:r>
    </w:p>
    <w:p>
      <w:r>
        <w:t>(Dispositiv nächste Seite)</w:t>
      </w:r>
    </w:p>
    <w:p>
      <w:r>
        <w:t>E-3879/2024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