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E-3867/2009 vom 3. Juli 2009</w:t>
      </w:r>
    </w:p>
    <w:p>
      <w:r>
        <w:t>Bundesverwaltungsgericht, 2009-07-03, DE</w:t>
      </w:r>
    </w:p>
    <w:p>
      <w:r>
        <w:rPr>
          <w:b/>
        </w:rPr>
        <w:t xml:space="preserve">Quelle: </w:t>
      </w:r>
      <w:r>
        <w:t>https://mcp.opencaselaw.ch/entscheid/bvger_E-3867_2009</w:t>
      </w:r>
    </w:p>
    <w:p>
      <w:r>
        <w:t>FR: TAF E-3867/2009 du 3 juillet 2009</w:t>
      </w:r>
    </w:p>
    <w:p>
      <w:r>
        <w:t>IT: TAF E-3867/2009 del 3 luglio 2009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Verfügungen des BFM vom 12. Mai 2009 sowie vom 24. November 2008 bezüglich der Dispositivziffern 3, 4 und 5 werden aufgehoben.</w:t>
      </w:r>
    </w:p>
    <w:p>
      <w:r>
        <w:rPr>
          <w:b/>
        </w:rPr>
        <w:t>E. 3</w:t>
      </w:r>
    </w:p>
    <w:p>
      <w:r>
        <w:t>Das BFM wird angewiesen, den Beschwerdeführer in der Schweiz vorläufig aufzunehmen.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BFM wird angewiesen, dem Beschwerdeführer eine Parteientschädigung von Fr. 732.- (inkl. Auslagen und Mehrwertsteuer) auszurichten sowie eine allfällig bereits bezahlte Gebühr zurück zu erstatten.</w:t>
      </w:r>
    </w:p>
    <w:p>
      <w:r>
        <w:rPr>
          <w:b/>
        </w:rPr>
        <w:t>E. 6</w:t>
      </w:r>
    </w:p>
    <w:p>
      <w:r>
        <w:t>Dieses Urteil geht an den Rechtsvertreter des Beschwerdeführers, das BFM und (die kantonale Behörde). Die Einzelrichterin: Die Gerichtsschreiberin: Christa Luterbacher Contessina Theis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