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E-3866/2015 vom 1. Juli 2015</w:t>
      </w:r>
    </w:p>
    <w:p>
      <w:r>
        <w:t>Bundesverwaltungsgericht, 2015-07-01, FR</w:t>
      </w:r>
    </w:p>
    <w:p>
      <w:r>
        <w:rPr>
          <w:b/>
        </w:rPr>
        <w:t xml:space="preserve">Quelle: </w:t>
      </w:r>
      <w:r>
        <w:t>https://mcp.opencaselaw.ch/entscheid/bvger_E-3866_2015</w:t>
      </w:r>
    </w:p>
    <w:p>
      <w:r>
        <w:t>FR: TAF E-3866/2015 du 1 juillet 2015</w:t>
      </w:r>
    </w:p>
    <w:p>
      <w:r>
        <w:t>IT: TAF E-3866/2015 del 1 luglio 2015</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La demande de réexamen suppose que le requérant invoque l'un des motifs de révision prévus par l'art. 66 PA ou fasse valoir que les circonstances se sont modifiées dans une mesure notable depuis le prononcé de la première décision (cf. ATAF 2010/27 consid. 2; cf. également Andrea Pfleiderer, in: Praxiskommentar zum Bundesgesetz über das Verwaltungsverfahren, 2009, art. 58 PA no 9 s. p. 1159 et réf. cit. [ci-après: Praxiskommentar VwVG]).</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d'éluder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2.3</w:t>
      </w:r>
    </w:p>
    <w:p>
      <w:r>
        <w:t>La requête de nouvel examen ne peut permettre une nouvelle appréciation de faits déjà connus en procédure ordinaire (cf. JICRA 2003 no 7 p. 45 et jurisp. cit.).</w:t>
      </w:r>
    </w:p>
    <w:p>
      <w:r>
        <w:rPr>
          <w:b/>
        </w:rPr>
        <w:t>E. 2.4</w:t>
      </w:r>
    </w:p>
    <w:p>
      <w:r>
        <w:t>La demande de réexamen dûment motivée est déposée par écrit auprès du SEM dans les trente jours qui suivent la découverte du motif de réexamen (art. 111b al. 1 LAsi).</w:t>
      </w:r>
    </w:p>
    <w:p>
      <w:r>
        <w:rPr>
          <w:b/>
        </w:rPr>
        <w:t>E. 3.1</w:t>
      </w:r>
    </w:p>
    <w:p>
      <w:r>
        <w:t>En l'espèce, la demande de réexamen a manifestement été déposée plus de trente jours après le début du suivi psychologique de l'enfant, mais moins de trente jours après le plus récent rapport médical ; sa recevabilité est donc douteuse. Toutefois, eu égard aux développements qui suivent, le Tribunal laisse cette question indécise.</w:t>
      </w:r>
    </w:p>
    <w:p>
      <w:r>
        <w:rPr>
          <w:b/>
        </w:rPr>
        <w:t>E. 3.2</w:t>
      </w:r>
    </w:p>
    <w:p>
      <w:r>
        <w:t>Sur le fond, la première question qui se pose est donc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3.3</w:t>
      </w:r>
    </w:p>
    <w:p>
      <w:r>
        <w:t>En l'espèce, les déclarations de l'intéressé relatives aux événements vécus au Congo reprennent celles qu'il avait faites dans sa demande de révision du 11 décembre 2014 ; tant l'autorité de première instance que le Tribunal les ont considérées comme invraisemblables. Elles ne présentent donc aucun caractère inédit. Quant aux données médicales relatives à l'enfant B._______, si elles sont certes postérieures à la dernière décision de première instance sur le fond, du 13 février 2014, elles ne sont cependant pas pertinentes ; en effet, aucun des troubles présentés par cet enfant n'est de nature à mettre de manière pressante sa vie ou son intégrité physique et psychique en danger en cas de retour (cf. not. ATAF 2011/50 consid. 8.3 ; Jurisprudence et informations de la Commission suisse de recours en matière d'asile [JICRA] 2003 n° 24 consid. 5b p. 157s.).</w:t>
      </w:r>
    </w:p>
    <w:p>
      <w:r>
        <w:rPr>
          <w:b/>
        </w:rPr>
        <w:t>E. 3.4</w:t>
      </w:r>
    </w:p>
    <w:p>
      <w:r>
        <w:t>Il s'ensuit que le recours, en tant qu'il conteste le rejet de la demande de réexamen, doit être rejeté.</w:t>
      </w:r>
    </w:p>
    <w:p>
      <w:r>
        <w:rPr>
          <w:b/>
        </w:rPr>
        <w:t>E. 4</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5</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