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E-3860/2009 vom 12. Mai 2011</w:t>
      </w:r>
    </w:p>
    <w:p>
      <w:r>
        <w:t>Bundesverwaltungsgericht, 2011-05-12, DE</w:t>
      </w:r>
    </w:p>
    <w:p>
      <w:r>
        <w:rPr>
          <w:b/>
        </w:rPr>
        <w:t xml:space="preserve">Quelle: </w:t>
      </w:r>
      <w:r>
        <w:t>https://mcp.opencaselaw.ch/entscheid/bvger_E-3860_2009</w:t>
      </w:r>
    </w:p>
    <w:p>
      <w:r>
        <w:t>FR: TAF E-3860/2009 du 12 mai 2011</w:t>
      </w:r>
    </w:p>
    <w:p>
      <w:r>
        <w:t>IT: TAF E-3860/2009 del 12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standhalten würden. Zur Begründung führte es aus, die Vorbringen des Beschwerdeführers würden in wesentlichen Punkten Widersprüche und Ungereimtheiten aufweisen. Anlässlich der Erstbefragung habe er angegeben, er sei nach dem Tod seines Vaters bei einem Verkehrsunfall im Jahre 2004 ins Visier der Verwandten der Mutter geraten. Demgegenüber habe er bei der Anhörung zu Protokoll gegeben, er habe erst seit Ende des Jahres 2007 in Angst vor seinen Verwandten gelebt. Sodann erstaune in diesem Zusammenhang die Aussage, wonach die Verwandten der Mutter sich seit der Hochzeit am Vater hätten rächen wollen, zumal die Familie seit 1994 konstant in Sulaymaniya gewohnt habe und der Beschwerdeführer erst im Alter von 16 oder 17 Jahren von den familiären Problemen erfahren haben will. Hätten es die Verwandten der Mutter mit ihren Racheabsichten gegenüber dem Vater ernst gemeint, wäre es ihnen sicher möglich gewesen, die Familie in den 18 Jahren bis zum Tod des Vaters ausfindig zu machen. Zudem hätte der Beschwerdeführer bestimmt schon früher von der Bedrohung erfahren. Ferner sei festzustellen, dass die Mutter und die Schwester des Beschwerdeführers trotz der Todesdrohungen der Verwandten nach wie vor in Sulaymaniya leben würden. Des weiteren habe der Beschwerdeführer im Rahmen der Befragungen zunächst angegeben, er sei im Oktober 2007 von seinem Cousin mütterlicherseits und zwei weiteren Personen zusammengeschlagen worden und habe danach Drohanrufe erhalten. Später habe er die ersten Drohanrufe mit Juni oder Juli 2007 datiert, weitere im September 2007. Danach habe er kein Telefon mehr gehabt. Weiter erstaune, dass es den Angehörigen der Mutter gelungen sein soll, seine Telefonnummer herauszufinden und ihn nach der Arbeit auf dem Heimweg abzufangen, dass die Familie aber umgekehrt nicht gewusst habe, wo er wohne und ihn am Telefon nach seiner Adresse gefragt habe. Würde diesen Ausführungen gefolgt, hätte der Beschwerdeführer nach dem Vorfall auf dem Heimweg im Oktober 2007 noch rund vier Monate in Sulaymaniya gelebt, ohne dass etwas vorgefallen wäre. Es sei indes realitätsfremd, dass die Angehörigen seiner Mutter in dieser Zeit nicht seinen Wohnort hätten ausfindig machen können. Zudem würden diese Ausführungen den Angaben widersprechen, wonach der Onkel mütterlicherseits bis im Jahr 2007 nicht gewusst habe, wo sich die Familie des Beschwerdeführers befinde. Diese Aussagen implizieren offensichtlich, dass die Verwandten der Mutter danach herausgefunden hätten, wo sich die Familie aufhalte, ansonsten sie den Beschwerdeführer nicht hätten angreifen können. Weiter stellt das BFM fest, gemäss seinen gesicherten Erkenntnissen würden die Behörden des kurdischen Nordiraks zwar bestimmte Anreize schaffen, um Kurden zur Rückkehr nach B._______ zu bewegen, von Zwangsrückführungen könne aber nicht die Rede sein. Diese Annahme werde dadurch bestärkt, dass die Mutter und die Schwester des Beschwerdeführers noch bis im Juni 2008 in Suleymaniya wohnhaft gewesen seien. Zu diesem Zeitpunkt wäre aber das Ultimatum der kurdischen Behörden bereits seit mehreren Monaten abgelaufen gewesen.</w:t>
      </w:r>
    </w:p>
    <w:p>
      <w:r>
        <w:rPr>
          <w:b/>
        </w:rPr>
        <w:t>E. 4.2</w:t>
      </w:r>
    </w:p>
    <w:p>
      <w:r>
        <w:t>In der Rechtsmitteleingabe wird zunächst festgestellt, das BFM habe es versäumt entsprechend seinen Erwägungen unter Ziffer 3 der angefochtenen Verfügung auf die Fälschungsmerkmale einzugehen. Sodann hält der Beschwerdeführer in der Eingabe an der Glaubhaftigkeit seiner Vorbringen fest und führt aus, mit der Entführung der Mutter habe sein Vater die Ehre der Familie der Mutter beschmutzt. Diese Schande könne nur mit dem Blut des Täters oder eines nahen Verwandten gesühnt werden. Weiter seien die Aussagen anlässlich der Anhörung als ergänzend und nicht als im Wiederspruch zu den Aussagen in der Empfangsstelle zu bewerten. Da die Familie der Mutter einflussreiche KDP-Angehörige seien, hätten sie die Macht, den Wohnort des Beschwerdeführers herauszufinden. Der Beschwerdeführer sei aufgefordert worden, Sulaymaniya zu verlassen und nach B._______ zurückzukehren. Seine Mutter und seine Schwester seien zwischenzeitlich gezwungen worden, dorthin zurückgekehrt. Als Beleg diene ein Lebensmittelcoupon.</w:t>
      </w:r>
    </w:p>
    <w:p>
      <w:r>
        <w:rPr>
          <w:b/>
        </w:rPr>
        <w:t>E. 4.3</w:t>
      </w:r>
    </w:p>
    <w:p>
      <w:r>
        <w:t>Das BFM führte in der Vernehmlassung aus, der Beweiswert des eingereichten Lebensmittelcoupons sei als sehr gering einzustufen, da solche Dokumente im Irak leicht käuflich erworben werden könnten. Zudem erstaune, dass auf dem Coupon unter "Namen der Familienmitglieder" der Beschwerdeführer, dessen Mutter und dessen Vater aufgeführt seien, wobei letzterer gemäss den Aussagen des Beschwerdeführers bereits seit dem Jahre 2004 tot sei. Was das geltend gemachte "Versäumnis" anbelange, so sei auf die Erwägungen unter II Abschnitt 2 der angefochtenen Verfügung hinzuweisen. Zudem sei festzustellen, dass die Herkunftsangabe des Beschwerdeführers aufgrund der festgestellten objektiven Fälschungsmerkmale, die seine Identitätskarte aufweisen würde, zweifelhaft sei, so dass die Frage nach der wahren Herkunft offenbleiben könne, da dem Beschwerdeführer nach dem jahrelangen Wohnaufenthalt in Sulaymaniya eine innerstaatliche Aufenthaltsalternative offen stehe.</w:t>
      </w:r>
    </w:p>
    <w:p>
      <w:r>
        <w:rPr>
          <w:b/>
        </w:rPr>
        <w:t>E. 4.4</w:t>
      </w:r>
    </w:p>
    <w:p>
      <w:r>
        <w:t>In der zweiten Vernehmlassung stellte die Vorinstanz fest, bei den eingereichten Identitätsdokumenten betreffend die Mutter des Beschwerdeführers handle es sich um Farbkopien, weshalb deren Beweiswert äusserst gering sei. Weiter führte die Vorinstanz aus, selbst wenn die Dokumente echt wären und damit feststehen würde, dass die Mutter aus B._______ stamme, würde dies nichts an der Feststellung ändern, dass der Beschwerdeführer aufgrund seines langjährigen Aufenthalts und seines Beziehungsnetzes in Sulaymaniya eine innerstaatliche Aufenthaltsalternative habe. Auch die Echtheit der eingereichten Todesurkunde betreffend den Vater des Beschwerdeführers sei fraglich, dies nicht zuletzt deshalb, weil der Beschwerdeführer im Rahmen des Asylverfahrens als Todesjahr das Jahr 2004 genannt habe, auf dem Todesschein indes das Jahr 2003 aufgeführt sei.</w:t>
      </w:r>
    </w:p>
    <w:p>
      <w:r>
        <w:rPr>
          <w:b/>
        </w:rPr>
        <w:t>E. 4.5</w:t>
      </w:r>
    </w:p>
    <w:p>
      <w:r>
        <w:t>In der Stellungnahme zur zweiten Vernehmlassung macht der Beschwerdeführer geltend, er habe sich anlässlich der Anhörung kurz fassen müssen und ihm sei nicht klar gewesen, wie wichtig das Todesdatum für seine Asylgründe sei. Weiter hält er daran fest, er stamme aus B._______ und könne nicht nach Sulaymaniya zurückkehren.</w:t>
      </w:r>
    </w:p>
    <w:p>
      <w:r>
        <w:rPr>
          <w:b/>
        </w:rPr>
        <w:t>E. 4.6.1</w:t>
      </w:r>
    </w:p>
    <w:p>
      <w:r>
        <w:t>Der Beschwerdeführer macht zunächst geltend, das BFM habe sich entgegen seinen Erwägungen nicht zu den Fälschungsmerkmalen betreffend der Identitätskarte geäussert. Dazu ist festzustellen, dass die Vorinstanz die Fälschungsmerkmale nicht unter dem Asylpunkt abgehandelt, aber im Rahmen der Prüfung des Wegweisungsvollzugs ausgeführt hat, dass solche festgestellt worden seien, weshalb die Herkunftsangabe des Beschwerdeführers zweifelhaft sei. Ob das BFM gehalten gewesen wäre, die Fälschungsmerkmale im Rahmen des Asylpunktes abzuhandeln, kann vorliegend offen gelassen werden, da das BFM dem Beschwerdeführer die einzelnen Fälschungsmerkmale mit Schreiben vom 4. Mai 2009 bekannt gegeben hat. Jedenfalls ist dem Beschwerdeführer aus der Vorgehensweise der Vorinstanz kein Nachteil erwachsen.</w:t>
      </w:r>
    </w:p>
    <w:p>
      <w:r>
        <w:rPr>
          <w:b/>
        </w:rPr>
        <w:t>E. 4.6.2</w:t>
      </w:r>
    </w:p>
    <w:p>
      <w:r>
        <w:t>Der Beschwerdeführer hält in den Eingaben an das Bundesverwaltungsgericht an der Glaubhaftigkeit seiner Vorbringen und der Echtheit der eingereichten Dokumente fest. Die Unstimmigkeiten in seinen Aussagen begründet er damit, dass er sich anlässlich der Anhörung habe kurz fassen müssen. Dazu ist festzustellen, dass dem Protokoll der Anhörung durch das BFM keine Hinweise zu entnehmen sind, wonach der Beschwerdeführer angehalten worden wäre, sich kurz zu fassen. Die Anhörung dauerte denn auch vier Stunden, was in Anbetracht der Vorbringen des Beschwerdeführers als durchschnittlich erachtet werden kann. Insoweit vermag er aus diesem Einwand nichts zu seinen Gunsten abzuleiten. Zur Glaubhaftigkeit der Aussagen des Beschwerdeführers ist weiter festzustellen, dass die Entführung seiner Mutter durch seinen Vater und die anschliessende Heirat im Zeitpunkt des Todes des Vaters mindestens 18 Jahre (Alter Beschwerdeführer), wenn nicht 20 Jahre (Alter Schwester Beschwerdeführer) oder noch mehr zurück lag. In Anbetracht dieser zeitlichen Verhältnisse hätten die Verwandten der Mutter hinreichend Zeit und Gelegenheit gehabt, sich zu rächen, wären sie tatsächlich danach bestrebt gewesen. Dass sie den Aufenthaltsort der Familie des Beschwerdeführers während all dieser Jahre nicht herausgefunden haben sollen, ist nicht glaubhaft. Dies umso mehr, als es sich laut den Ausführungen in der Rechtsmitteleingabe bei den Verwandten der Mutter um einflussreiche KDP-Angehörige handeln soll. Es bestehen somit ernsthafte Zweifel an der vom Beschwerdeführer geltend gemachten Bedrohung durch seine Verwandten mütterlicherseits. Weiter wird in der Eingabe vorgebracht, die Aussagen anlässlich der Anhörung seien als ergänzend und nicht widersprüchlich zu denjenigen anlässlich der Erstbefragung zu betrachten. Eine solche Betrachtungsweise ist grundsätzlich möglich, vorliegend aber nicht angezeigt. Dies namentlich deshalb, weil der Beschwerdeführer laut seinen Angaben über eine gymnasiale Ausbildung verfügt und von ihm daher ohne Weiteres in den wesentlichen Punkten seiner Asylbegründung übereinstimmende Angaben erwartet werden dürfen. Dies auch deshalb, weil es bei der Anhörung zu den Asylgründen im Wesentlichen einzig darum geht, selbst Erlebtes wiederzugeben. Vorliegend hat sich der Beschwerdeführer anlässlich der beiden Befragungen offensichtlich in wesentlichen Punkten seiner Asylbegründung unvereinbar und widersprüchlich geäussert. So erklärte er anlässlich der Erstbefragung, sein Vater sei im Jahre 2004 verunfallt und seither habe er Angst vor seinen Verwandten. Demgegenüber gab er bei der Anhörung zu Protokoll, er habe seit 2007 Angst vor seinen Verwandten und erwähnte den Autounfall in diesem Zusammenhang mit keinem Wort. Überdies ist festzustellen, dass der Vater des Beschwerdeführers gemäss dem eingereichten Todesschein im Jahre 2003 verstorben ist, mithin stimmt dieses Datum nicht mit den persönlichen Aussagen des Beschwerdeführers überein. Weiter erstaunt auch, dass der Vater des Beschwerdeführers auf dem aus dem Jahre 2008 stammenden Lebensmittelcoupon als Familienoberhaupt sowie als Bezüger aufgeführt ist. Vor diesem Hintergrund ist mehr als fraglich, ob der Vater des Beschwerdeführers überhaupt verstorben ist. Zudem bestehen in Anbetracht dieser Unstimmigkeiten ernsthafte Zweifel an der Echtheit des Todesscheines als auch der Lebensmittelmarke. Generell ist zu diesen Beweismitteln einmal mehr anzumerken, dass solche im Irak leicht käuflich erworben werden können, ihr Beweiswert daher per se als sehr gering einzustufen ist. Insoweit vermag der Beschwerdeführer mit der Lebensmittelmarke auch nicht zu belegen, dass seine Mutter und seine Schwester gezwungen wurden, sich nach B._______ zurückzubegeben. Im weiteren werden die vorgenannten Zweifel dadurch bestärkt, als es sich bei der vom Beschwerdeführer eingereichten Identitätskarte offensichtlich um eine Fälschung handelt. Bereits im Schreiben vom 4. Mai 2009 hat das BFM festgehalten, dass dem eingereichten Ausweis bestimmte Sicherheitselemente fehlen würden. Zudem seien der Grund- und der Vordruck als auch das Druckverfahren der Seriennummer unüblich. Ferner würde die Qualität des Stempels und des Staatswappens auf die Unechtheit des Ausweises hindeuten. Weitergehende oder genauere Angaben zu den einzelnen Fälschungsmerkmalen hat das BFM gestützt auf Art. 27 Abs. 1 Bst. a VwVG zu Recht nicht offen gelegt. Mit dem blossen Hinweis, er habe die Identitätskarte legal erhalten und sie sei echt, vermag der Beschwerdeführer jedenfalls die Fälschungsmerkmale nicht zu entkräften. Ebenso wenig vermag er aus dem Hinweis, als ethnischer Kurde sei er bei den heimatlichen Behörden eine "persona non grata" in diesem Zusammenhang nichts zu seinen Gunsten abzuleiten. Gemäss Art. 10 Abs. 4 AsylG können verfälschte und gefälschte Dokumente von der Beschwerdeinstanz eingezogen werden. Die als Fälschung erkannte Identitätskarte (...) ist somit einzuziehen. Schliesslich vermag der Beschwerdeführer mit dem blossen festhalten an der Glaubhaftigkeit seiner Aussagen nicht substantiiert darzutun, inwiefern das BFM zu Unrecht auf Unglaubhaftigkeit der Vorbringen geschlossen hat. Um Wiederholungen zu vermeiden, kann auf die zutreffenden Erwägungen in der angefochtenen Verfügung verwiesen werden.</w:t>
      </w:r>
    </w:p>
    <w:p>
      <w:r>
        <w:rPr>
          <w:b/>
        </w:rPr>
        <w:t>E. 4.6.3</w:t>
      </w:r>
    </w:p>
    <w:p>
      <w:r>
        <w:t>Aufgrund der vorstehenden Erwägungen ergibt sich, dass die Vorbringen des Beschwerdeführers in wesentlichen Punkten von Unstimmigkeiten gekennzeichnet sind. Zudem hat er Beweismittel eingereicht, an deren Echtheit ernsthaft Zweifel bestehen beziehungsweise eine Identitätskarte zu den Akten gegeben, die klar als Fälschung zu qualifizieren ist.</w:t>
      </w:r>
    </w:p>
    <w:p>
      <w:r>
        <w:rPr>
          <w:b/>
        </w:rPr>
        <w:t>E. 5</w:t>
      </w:r>
    </w:p>
    <w:p>
      <w:r>
        <w:t>Zusammenfassend ist festzuhalten, dass der Beschwerdeführer keine Gründe nach Art. 3 AsylG glaubhaft machen oder nachweisen kann. Bei dieser Sachlage erübrigt es sich, auf die weiteren Ausführungen in der Beschwerde und die eingereichten Beweismittel im Einzelnen einzugehen.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das in Art. 5 AsylG verankerte Prinzip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Irak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geht gemäss konstanter Praxis da­von aus, dass in den drei kurdischen Provinzen Dohuk, Erbil und Sulaymaniya keine Situation allgemeiner Gewalt herrscht und die dortige po­litische Lage nicht derart angespannt ist, dass eine Rückführung dorthin generell als unzumutbar betrachtet werden müsste (BVGE 2008/5 E. 7.5.8 S. 72). Zusammenfassend wird im erwähnten Urteil festgehalten,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(a.a.O.)</w:t>
      </w:r>
    </w:p>
    <w:p>
      <w:r>
        <w:rPr>
          <w:b/>
        </w:rPr>
        <w:t>E. 7.3.3</w:t>
      </w:r>
    </w:p>
    <w:p>
      <w:r>
        <w:t>Die Sicherheitssituation in den drei kurdischen Provinzen hat sich seit Publikation des erwähnten Urteils im Frühling 2008 nicht wesentlich verändert. In der überwiegenden Mehrheit der Berichte von Regierungs- und Nichtregierungsorganisationen sowie des UN-Sicherheitsrats wird eine insgesamt stabile Situation beschrieben (vgl. dazu UK Home Office, Country of Origin Information Report: Kurdistan Regional Government Area of Iraq, 16. September 2009, S. 32 ff.). Die Schweizerische Flüchtlingshilfe (SFH) bezeichnete im August 2008 die Sicherheitslage im Nordirak als "vergleichsweise friedlich und stabil" (Michael Kirschner, SFH, Irak, Update: Aktuelle Entwicklungen, 14. August 2008, Ziff. 3.1, S. 9). In seinem Bericht von Juli 2010 bestätigt das Amt des Hohen Flüchtlingskommissars der Vereinten Nationen (UNHCR) die relativ sta­bile Sicherheitslage in den drei kurdischen Provinzen (vgl. UNHCR, Note on the Continued Applicability of the April 2009 UNHCR Eligibility Guidelines for Assessing the International Protection Needs of Iraqi Asylum-Seekers, Juli 2010, S. 2). Die allgemeine Sicherheitslage im Nordirak spricht somit nicht gegen die Zumutbarkeit des Vollzugs der Wegweisung</w:t>
      </w:r>
    </w:p>
    <w:p>
      <w:r>
        <w:rPr>
          <w:b/>
        </w:rPr>
        <w:t>E. 7.3.4</w:t>
      </w:r>
    </w:p>
    <w:p>
      <w:r>
        <w:t>In der Rechtsmitteleingabe bestreitet der Beschwerdeführer die individuelle Zumutbarkeit des Vollzugs der Wegweisung. Indes sind den Akten keine Hinweise zu entnehmen, wonach der Wegweisungsvollzug aus einem in der Person des Beschwerdeführers liegenden Grund nicht zu­mutbar wäre. Der alleinstehende und - soweit aktenkundig - gesunde Beschwerdeführer lebte gemäss seinen Angaben von 1994 bis 2008, mithin während seiner späteren Kindheit, Jugend und Ausbildung mit seiner Familie in Sulaymaniya. Nachdem der Beschwerdeführer über 14 Jahre in dieser Stadt im Quartier Khabat gelebt hat, ist er mit diesem Ort in jeglicher Hinsicht vertraut und verfügt dort auch über ein bestehendes ausserfamiliäres Beziehungsnetz, auf welches er bei einer Rückkehr zurückgreifen kann. Angesichts seiner gymnasialen Ausbildung (...) sowie seiner Berufserfahrungen als Küchengehilfe ist davon auszugehen, dass sich der Beschwerdeführer in seiner Heimat wieder in den Arbeitsmarkt integrieren kann. Blosse soziale und wirtschaftliche Schwierigkeiten, von denen die ansässige Bevölkerung im Allgemeinen betroffen ist, genügen grundsätzlich nicht, um eine Gefährdung im Sinne von Art. 83 Abs. 4 AuG darzustellen (vgl. BVGE 2008/34 E.11.2.2., EMARK 2005 Nr. 24 E. 10.1. S. 215). Schliesslich steht es dem Beschwerdeführer offen und ist ihm zuzumuten, sich an einem anderen als seinem bisherigen Wohnort niederzulassen und eine neue Existenz aufzubauen.</w:t>
      </w:r>
    </w:p>
    <w:p>
      <w:r>
        <w:rPr>
          <w:b/>
        </w:rPr>
        <w:t>E. 7.3.5</w:t>
      </w:r>
    </w:p>
    <w:p>
      <w:r>
        <w:t>Zusammenfassend ist festzuhalten, dass keine Anhaltspunkte vorliegen, die auf eine konkrete Gefährdung des Beschwerdeführers im Irak schliessen lassen. Damit ist der Vollzug der Wegweisung als zumutbar zu erachten.</w:t>
      </w:r>
    </w:p>
    <w:p>
      <w:r>
        <w:rPr>
          <w:b/>
        </w:rPr>
        <w:t>E. 7.4</w:t>
      </w:r>
    </w:p>
    <w:p>
      <w:r>
        <w:t>Schliesslich obliegt es dem Beschwerdeführer, sich bei der zuständigen Vertretung seines Heimatstaates die für die Rückkehr notwendigen Reisedokumente zu beschaffen (Art. 8 Abs. 4 AsylG und dazu BVGE 2008/34 E.12),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Mit Zwischenverfügung vom 19. Juni 2009 hat der Instruktionsrichter das Gesuch um Gewährung der unentgeltlichen Rechtspflege gutgeheissen. Dementsprechend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