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E-3853/2014 vom 27. Mai 2015</w:t>
      </w:r>
    </w:p>
    <w:p>
      <w:r>
        <w:t>Bundesverwaltungsgericht, 2015-05-27, DE</w:t>
      </w:r>
    </w:p>
    <w:p>
      <w:r>
        <w:rPr>
          <w:b/>
        </w:rPr>
        <w:t xml:space="preserve">Quelle: </w:t>
      </w:r>
      <w:r>
        <w:t>https://mcp.opencaselaw.ch/entscheid/bvger_E-3853_2014</w:t>
      </w:r>
    </w:p>
    <w:p>
      <w:r>
        <w:t>FR: TAF E-3853/2014 du 27 mai 2015</w:t>
      </w:r>
    </w:p>
    <w:p>
      <w:r>
        <w:t>IT: TAF E-3853/2014 del 27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dass die Ausführungen der Beschwerdeführerin zur Herkunftsregion unsubstanziiert und pauschal ausgefallen seien und sie überdies kein Chinesisch spreche, weshalb ihre behauptete tibetische Staatsangehörigkeit nicht geglaubt werden könne. So habe sie keine oder nur zögerliche Auskunft geben können über ihre Herkunftsregion und wie sich diese in den vergangenen Jahren verändert habe. Auch in Bezug auf die geltend gemachte Verfolgung bestünden widersprüchliche Aussagen, weshalb nicht davon auszugehen sei, die Beschwerdeführerin habe ihr Leben lang in der angegebenen Region gelebt. Damit sei ihren Asylvorbringen jegliche Grundlage entzogen. Die Schilderung ihres Reisewegs erweise sich ebenfalls als unglaubhaft, weil sie knapp und unterschiedlich ausgefallen sei. Aus diesen Gründen liege der Schluss nahe, dass die Beschwerdeführerin in ihrem Leben nie auf tibetischen beziehungsweise chinesischen Gebiet gewesen sei und sie damit nicht illegal oder legal von dort habe ausreisen können. Hinsichtlich der Staatsbürgerschaft habe das Bundesverwaltungsgericht zwar festgestellt, die Täuschung bezüglich des Ortes der Hauptsozialisation stelle per se noch keinen Beweis dafür dar, dass die gesuchstellende Person über die behauptete Staatsbürgerschaft habe täuschen wollen. Der gesuchstellenden Person komme aber eine gewisse Mitwirkungspflicht zu, ihre Staatsangehörigkeit offen zu legen, und sie trage die Folgen der Beweislosigkeit. Vorliegend vermöchten die Gründe, aus denen keine Identitätspapiere eingereicht worden seien, nicht zu überzeugen. Somit stelle allein die Tatsache, dass sie Tibetisch spreche und wahrscheinlich tibetischer Ethnie sei, noch keinen Beweis dafür dar, dass die Beschwerdeführerin chinesische Staatsbürgerin sei. Eine Wegweisung in die Volksrepublik China werde jedoch im konkreten Fall ausgeschlossen. Eine grobe Verletzung der Mitwirkungspflicht könne den Vollzug der Wegweisung jedoch nicht verhindern, weil es nicht Sache der Asylbehörden sei, bei fehlenden Hinweisen seitens der Asylsuchenden nach etwaigen Wegweisungsvollzugshindernissen in hypothetische Herkunftsländer zu forschen. Wegen des Grundsatzes der Rechtsgleichheit könne auch vorliegend nicht von dieser Praxis abgewichen werden. Ausserdem erweise sich der Wegweisungsvollzug im heutigen Zeitpunkt nicht als von vornherein unmöglich oder technisch nicht durchführbar.</w:t>
      </w:r>
    </w:p>
    <w:p>
      <w:r>
        <w:rPr>
          <w:b/>
        </w:rPr>
        <w:t>E. 4.2</w:t>
      </w:r>
    </w:p>
    <w:p>
      <w:r>
        <w:t>Die Beschwerdeführerin begründete ihre Beschwerde im Wesentlichen damit, dass die BzP unter Zeitdruck erfolgt sei und sie deshalb mehrmals darauf hingewiesen worden sei, ihre Antworten kurz zu halten. Auf diesen Umstand habe sie zu bereits zu Beginn der einlässlichen Anhörung aufmerksam gemacht. Insofern überrasche es nicht, dass es an der Anhörung zu Präzisierungen gekommen sei. Ausserdem habe die Vorinstanz übersehen, dass sie sehr wohl konkrete Aussagen zu ihrer Heimatregion sowie zu ihrem Alltag habe machen können und sie nur deshalb keine entsprechenden Veränderungen in ihrer Heimatregion habe nennen können, weil es schlicht keine gegeben habe. An Einzelheiten könne sie sich nicht mehr erinnern, weil sie ihre Heimat vor nunmehr drei Jahren verlassen habe. Es sei auch zu berücksichtigen, dass sie keine Schulbildung genossen und sie sich nie um administrative Angelegenheiten gekümmert habe. Im Übrigen habe die Vorinstanz, insbesondere in Bezug auf ihre Identitätsdokumente, an keiner Stelle ausgeführt, inwiefern die Beschwerdeführerin tatsachenwidrige Angaben gemacht habe. Es könne nicht als Indiz für die fehlende tibetische Herkunft sprechen, dass die Beschwerdeführerin kein Chinesisch spreche, weil dies in einem kleinen Dorf Tibets nicht anders zu erwarten sei und die Beschwerdeführerin zudem zwei verschiedene tibetische Dialekte spreche. Hinsichtlich der geltend gemachten erlebten Nachteile würde es sich zweifelsohne um Verfolgungsgründe im Sinn von Art. 3 AsylG handeln, weshalb ihr Asylgesuch gutzuheissen sei. Zumindest sei sie in der Schweiz vorläufig aufzunehmen, da eine Rückkehr nach Tibet gemäss Praxis des angerufenen Gerichts aufgrund ihrer illegalen Ausreise nicht in Frage käme.</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5.2.1</w:t>
      </w:r>
    </w:p>
    <w:p>
      <w:r>
        <w:t>Das Bundesverwaltungsgericht hat im zur Publikation vorgesehenen Leiturteil E-3361/2014 vom 6. Mai 2015 festgestellt, dass das SEM vor einiger Zeit eine neue Methode der Herkunftsabklärung für Asylsuchende tibetischer Ethnie eingeführt hat. Dabei wird nicht mehr eine Analyse der Fachstelle Lingua (sprachliche Analyse oder Lingua-Alltags­wissensevaluation) durchgeführt,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w:t>
      </w:r>
    </w:p>
    <w:p>
      <w:r>
        <w:rPr>
          <w:b/>
        </w:rPr>
        <w:t>E. 5.2.2</w:t>
      </w:r>
    </w:p>
    <w:p>
      <w:r>
        <w:t>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Einhaltung der hier üblichen Standards - mit Informationen zum Herkunftsland (Country of Origin Information, COI) zu belegen (vgl. E. 5.2.2.1 f. m.w.H.).</w:t>
      </w:r>
    </w:p>
    <w:p>
      <w:r>
        <w:rPr>
          <w:b/>
        </w:rPr>
        <w:t>E. 5.2.3</w:t>
      </w:r>
    </w:p>
    <w:p>
      <w:r>
        <w:t>Der wesentliche Inhalt der Herkunftsanalyse muss der betroffenen Person sodann zur rechtsgenüglichen Gewährung der Akteneinsicht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w:t>
      </w:r>
    </w:p>
    <w:p>
      <w:r>
        <w:rPr>
          <w:b/>
        </w:rPr>
        <w:t>E. 5.3</w:t>
      </w:r>
    </w:p>
    <w:p>
      <w:r>
        <w:t>Vorliegend ist die Vorinstanz ihrer Untersuchungspflicht in Bezug auf ihre neu eingeführte Methode der Herkunftsabklärung für Asylsuchende tibetischer Ethnie nicht nachgekommen, und sie hat auch die umschriebenen Mindeststandards betreffend Gewährung des rechtlichen Gehörs nicht eingehalten:</w:t>
      </w:r>
    </w:p>
    <w:p>
      <w:r>
        <w:rPr>
          <w:b/>
        </w:rPr>
        <w:t>E. 5.3.1</w:t>
      </w:r>
    </w:p>
    <w:p>
      <w:r>
        <w:t>Die Beschwerdeführerin wurde an der Anhörung zu ihren Asylgründen ebenfalls zu ihrem Herkunfts- und Alltagswissens befragt. Dabei sind dem Anhörungsprotokoll vom 28. Mai 2014 die gestellten Fragen sowie die Antworten der Beschwerdeführerin zu entnehmen. Nur bei zwei der insgesamt 74 in diesem Zusammenhang gestellten Fragen wurde die Beschwerdeführerin, in pauschaler Weise, darauf hingewiesen, dass ihre Aussagen nicht mit den eruierbaren Informationen des SEM übereinstimmen würden, und gefragt, was sie dazu zu sagen habe (vgl. SEM-Akten, A16, F21 und F77). Mit diesem Vorgehen - das übrigens in auffälligem Gegensatz zur vergleichsweise sehr ausführlichen Vorhaltung angeblicher Widersprüche in der Schilderung der Ausreisegründe und -umstände steht (vgl. SEM-Akten, A16, F122-F129) - wurde es der Beschwerdeführerin verunmöglicht, sich sachgerecht zum Vorwurf falscher Antworten zu äussern. In ihrer Vernehmlassung unterliess es die Vor­instanz sich zur berechtigten Rüge der Beschwerdeführerin (vgl. Beschwerdeschrift, S. 5) zu äussern. Diese hatte damit faktisch keine Gelegenheit allfällige Einwände gegen den Vorwurf der falschen Angaben (oder plausible Erklärungen dafür) aktenkundig zu machen.</w:t>
      </w:r>
    </w:p>
    <w:p>
      <w:r>
        <w:rPr>
          <w:b/>
        </w:rPr>
        <w:t>E. 5.3.2</w:t>
      </w:r>
    </w:p>
    <w:p>
      <w:r>
        <w:t>Den Akten sind zudem weder der wesentliche Inhalt der Herkunftsuntersuchung noch die angeblich richtigen Antworten auf die gestellten Fragen und die entsprechenden Quellen zu entnehmen. Bei dieser Sachlage kann das Gericht nicht zuverlässig feststellen, ob die Beschwerdeführerin tatsächlich keine hinreichenden Angaben zum behaupteten Herkunftsland machen konnte.</w:t>
      </w:r>
    </w:p>
    <w:p>
      <w:r>
        <w:rPr>
          <w:b/>
        </w:rPr>
        <w:t>E. 5.4</w:t>
      </w:r>
    </w:p>
    <w:p>
      <w:r>
        <w:t>Die Vorinstanz hat nach dem Gesagten den Untersuchungsgrundsatz, den Anspruch der Beschwerdeführerin auf rechtliches Gehör und ihre Aktenführungspflicht verletzt.</w:t>
      </w:r>
    </w:p>
    <w:p>
      <w:r>
        <w:rPr>
          <w:b/>
        </w:rPr>
        <w:t>E. 6</w:t>
      </w:r>
    </w:p>
    <w:p>
      <w:r>
        <w:t>Die Frage einer Heilung dieser Verfahrensmängel kann sich schon deshalb nicht stellen, weil sie im Rahmen des Beschwerdeverfahrens nicht behoben worden sind. Die Beschwerde ist deshalb insoweit gutzuheissen, als damit die Aufhebung der angefochtenen Verfügung vom 6. Juni 2014 beantragt wurde. Die Sache ist zur korrekten Durchführung des Asylverfahrens im Sinn der Erwägungen und zur erneuten Beurteilung an die Vorinstanz zurückzuweisen.</w:t>
      </w:r>
    </w:p>
    <w:p>
      <w:r>
        <w:rPr>
          <w:b/>
        </w:rPr>
        <w:t>E. 7</w:t>
      </w:r>
    </w:p>
    <w:p>
      <w:r>
        <w:t>Bei dieser Sachlage erübrigt es sich, auf die weiteren Ausführungen in der Beschwerdeschrift näher einzugehen.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das Honorar der amtlichen Rechtsbeiständin aufgrund der Akten zu bestimmen sind (Art. 14 Abs. 2 in fine VGKE) ist. Gestützt auf die in Betracht zu ziehenden Bemessungsfaktoren (Art. 9-13 VGKE) ist das Honorar auf insgesamt Fr. 1200.- (inkl. Auslagen und Mehrwertsteuerzuschlag) festzulegen und dem SEM zur Vergütung unter dem Titel einer Parteientschädigung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