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E-3850/2024 vom 3. Oktober 2024</w:t>
      </w:r>
    </w:p>
    <w:p>
      <w:r>
        <w:t>Bundesverwaltungsgericht, 2024-10-03, DE</w:t>
      </w:r>
    </w:p>
    <w:p>
      <w:r>
        <w:rPr>
          <w:b/>
        </w:rPr>
        <w:t xml:space="preserve">Quelle: </w:t>
      </w:r>
      <w:r>
        <w:t>https://mcp.opencaselaw.ch/entscheid/bvger_E-3850_2024</w:t>
      </w:r>
    </w:p>
    <w:p>
      <w:r>
        <w:t>FR: TAF E-3850/2024 du 3 octobre 2024</w:t>
      </w:r>
    </w:p>
    <w:p>
      <w:r>
        <w:t>IT: TAF E-3850/2024 del 3 ottobre 2024</w:t>
      </w:r>
    </w:p>
    <w:p>
      <w:pPr>
        <w:pStyle w:val="Heading2"/>
      </w:pPr>
      <w:r>
        <w:t>Regeste</w:t>
      </w:r>
    </w:p>
    <w:p>
      <w:r>
        <w:t>Asyl und Wegweisung (Wiedererwägung)</w:t>
      </w:r>
    </w:p>
    <w:p>
      <w:pPr>
        <w:pStyle w:val="Heading2"/>
      </w:pPr>
      <w:r>
        <w:t>Erwägungen</w:t>
      </w:r>
    </w:p>
    <w:p>
      <w:r>
        <w:rPr>
          <w:b/>
        </w:rPr>
        <w:t>E. 28</w:t>
      </w:r>
    </w:p>
    <w:p>
      <w:r>
        <w:t>Februar 2022 und ein Austrittsbericht des […] vom 20. September 2021) ins Recht legte, dass die Vorinstanz diese Eingabe zutreffend als Wiedererwägungsgesuch behandelte und von der Rechtzeitigkeit des Gesuchs ausging, datiert doch der letzte Arztbericht, auf den sich das Wiedererwägungsgesuch vom 19. März 2024 insbesondere stützt, vom 28. Februar 2024 (vgl. Art. 111b Abs. 1 AsylG), dass die Vorinstanz in der angefochtenen Verfügung zum Schluss ge- langte, der Vollzug der Wegweisung des Beschwerdeführers sei unter Be- rücksichtigung von Art. 3 EMRK und der einschlägigen Rechtsprechung zulässig, überdies bestehe in Marokko eine entsprechende medizinische</w:t>
      </w:r>
    </w:p>
    <w:p>
      <w:r>
        <w:t>E-3850/2024 Seite 5 Infrastruktur und die psychischen Probleme könnten in einem der Spitäler mit angegliederter Psychiatrie (namentlich in Rabat im Universitätsspital Cheikh Ayda oder in anderen grossen Städten) oder in einer der zahlrei- chen spezialisierten Institutionen behandelt werden, überdies würden Suchtzentren namentlich am Universitätsspital CHU Ibn Rochd Casab- lanca sowie in Rabat, Oujda, Nador und Marrakech bestehen, die beim Vorliegen von Drogenabhängigkeit unentgeltlich zugänglich seien, schliesslich seien alle benötigten Medikamente in Apotheken der grösse- ren Städte erhältlich, dass die Vorinstanz weiter ausführte, neben der obligatorischen Grund- Krankenversicherung gebe es seit 2013 auch Zugang zu finanzieller Hilfe im Gesundheitswesen für Personen, die aus finanziellen Gründen aus der Grundversicherung ausgeschlossen seien, überdies könne der Beschwer- deführer medizinische Rückkehrhilfe beantragen, dass vorab festzustellen ist, dass die Vorinstanz den Sachverhalt ausrei- chend abgeklärt sowie ihrer Begründungspflicht ausreichend nachgekom- men ist, weshalb kein Grund zur Rückweisung der Sache besteht und das entsprechende Eventualbegehren abzuweisen ist, dass sodann, um Wiederholungen zu vermeiden, auf die zutreffenden Er- wägungen der Vorinstanz verwiesen werden kann (vgl. angefochtene Ver- fügung S. 3 f.), dass die Beschwerdeausführungen, die sich insbesondere in Wiederholun- gen des bereits bekannten Sachverhalts erschöpfen, nicht zu einer von der Vorinstanz abweichenden Betrachtung zu führen vermögen, dass der Beschwerdeführer unter Hinweis auf Quellen darlegt, seine Be- schwerden könnten in Marokko allenfalls nicht adäquat behandelt werden, da dort eine Unterversorgung bestünde und es auch fraglich sei, ob er aus finanziellen Gründen überhaupt Zugang zu den Therapien, Medikamenten und Behandlungen erhalte, da die benötigten Behandlungen durch die für mittellose Personen bestehende Grundversorgung nicht gewährleistet seien (vgl. Beschwerde S. 5 ff.), dass es zwar zutrifft, dass beim Beschwerdeführer eine paranoide Schizo- phrenie und sowohl psychische Störungen als auch Verhaltensstörungen durch Cannabinoide aufgrund schädlichen Gebrauchs diagnostiziert wur- den (vgl. bspw. SEM-eAkten 1/64 ambulanter Bericht vom 28. Februar 2024 S. 1),</w:t>
      </w:r>
    </w:p>
    <w:p>
      <w:r>
        <w:t>E-3850/2024 Seite 6 dass sich seine Situation jedoch stabilisiert und er seither (auch auf Be- schwerdeebene) keine weiteren Arztberichte eingereicht hat, weshalb da- von auszugehen ist, dass sich seine psychopathologische Stabilität seit Februar 2024 bewiesen hat (vgl. a.a.O. insb. S. 4), dass – sollte der Beschwerdeführer dennoch erneut auf medizinische Hilfe angewiesen sein – die Schlussfolgerung der Vorinstanz zu bestätigen ist, wonach entsprechende Therapien sowie Medikamente in Marokko ange- boten und den marokkanischen Staatsangehörigen, unabhängig ihrer fi- nanziellen Situation, zugänglich sind, dass das Bundesverwaltungsgericht – auch in Bezug auf paranoide Schi- zophrenie – festgestellt hat, dass in Marokko sowohl entsprechende psy- chiatrische sowie psychologische Therapien als auch Medikamente verfüg- bar und durch das dort etablierte Régime d'Assistance Médicale (RAMED) selbst wirtschaftlich bedürftigen Personen zugänglich sind (vgl. Urteile des BVGer E-4327/2023 vom 7. September 2023 E. 5.4.3, vgl. ferner das vom Beschwerdeführer hierzu zitierte Urteil D-4062/2020 vom 10. Februar 2021 E. 7.3.2), dass – ungeachtet der aktenkundigen Arztberichte – auch keine ausrei- chenden Hinweise vorliegen, wonach die gesundheitlichen Beschwerden des Beschwerdeführers zwingend in der Schweiz weiterbehandelt werden müssten, dass im Übrigen die Transport- und Reisefähigkeit durch die kantonale Voll- zugsbehörde unmittelbar vor der Überstellung abgeklärt werden und dann- zumal auch die Möglichkeit der Begleitung durch medizinisches Fachper- sonal sowie der Abgabe dringend benötigter Medikamente besteht und es dem Beschwerdeführer offensteht, medizinische Rückkehrhilfe zu beantra- gen (vgl. zur medizinischen Rückkehrhilfe: Art. 93 Abs. 1 Bst. d AsylG, Art. 75 der Asylverordnung 2 vom 11. August 1999 [AsylV 2, SR 142.312]), dass die Vorinstanz somit zu Recht festgestellt hat, es liege in Bezug auf die Frage des Gesundheitszustandes keine massgeblich veränderte Sach- lage vor, dass schliesslich auch der Beschwerdeeinwand – der Beschwerdeführer unterhalte aktuell keine gelebte Beziehung zu seinen Verwandten in Ma- rokko – offenkundig nicht zu einer anderen Gewichtung führt, zumal es sich bei ihm um eine volljährige Person handelt, und er ebenso wenig aus der</w:t>
      </w:r>
    </w:p>
    <w:p>
      <w:r>
        <w:t>E-3850/2024 Seite 7 Dauer seiner Anwesenheit in der Schweiz beziehungsweise Landesabwe- senheit etwas zu seinen Gunsten abzuleiten vermag, dass demnach keine nachträglich eingetretene erhebliche Veränderung der Sachlage vorliegt, die ein Zurückkommen auf die rechtskräftige Verfü- gung des SEM rechtfertigen könnte, weshalb die Vorinstanz das Wieder- erwägungsgesuch zu Recht abgewiesen hat, dass nach dem Gesagten die Anordnung einer vorläufigen Aufnahme aus- ser Betracht fällt (Art. 83 Abs. 1–4 AIG), dass nach vorstehenden Erwägungen die angefochtene Verfügung zu be- stätigen und die Beschwerde vom 18. Juni 2024 als offensichtlich unbe- gründet abzuweisen ist, dass das Beschwerdeverfahren mit vorliegendem Urteil abgeschlossen ist, weshalb die Begehren um Vollzugsstopp, Erteilung der aufschiebenden Wirkung und Befreiung von der Vorschusspflicht gegenstandslos gewor- den sind, dass aufgrund der Aussichtslosigkeit der Rechtsbegehren das Gesuch um unentgeltliche Prozessführung abzuweisen ist, die Kosten praxisgemäss auf Fr. 2’000.– festzusetzen und dem Beschwerdeführer aufzuerlegen sind (Art. 37 VGG i.V.m. Art. 63 Abs. 1 und Art. 68 Abs. 2 VwVG; Art. 1–3 des Reglements vom 21. Februar 2008 über die Kosten und Entschädigungen vor dem Bundesverwaltungsgericht [VGKE, SR 173.320.2]).</w:t>
      </w:r>
    </w:p>
    <w:p>
      <w:r>
        <w:t>(Dispositiv nächste Seite)</w:t>
      </w:r>
    </w:p>
    <w:p>
      <w:r>
        <w:t>E-3850/2024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