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E-3850/2016 vom 8. Februar 2019</w:t>
      </w:r>
    </w:p>
    <w:p>
      <w:r>
        <w:t>Bundesverwaltungsgericht, 2019-02-08, DE</w:t>
      </w:r>
    </w:p>
    <w:p>
      <w:r>
        <w:rPr>
          <w:b/>
        </w:rPr>
        <w:t xml:space="preserve">Quelle: </w:t>
      </w:r>
      <w:r>
        <w:t>https://mcp.opencaselaw.ch/entscheid/bvger_E-3850_2016</w:t>
      </w:r>
    </w:p>
    <w:p>
      <w:r>
        <w:t>FR: TAF E-3850/2016 du 8 février 2019</w:t>
      </w:r>
    </w:p>
    <w:p>
      <w:r>
        <w:t>IT: TAF E-3850/2016 del 8 febbraio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begründet. Sie ist deshalb im Verfahren einzelrichterlicher Zuständigkeit mit Zustimmung eines zweiten Richters oder einer zweiten Richterin (Art. 111 Bst. e AsylG) und mit summarischer Begründung (Art. 111a Abs. 2 AsylG) zu behandeln.</w:t>
      </w:r>
    </w:p>
    <w:p>
      <w:r>
        <w:rPr>
          <w:b/>
        </w:rPr>
        <w:t>E. 4.1</w:t>
      </w:r>
    </w:p>
    <w:p>
      <w:r>
        <w:t>Gemäss Art. 17 Abs. 2 AsylG i.V.m. Art. 6 der Asylverordnung 1 über Verfahrensfragen vom 11. August 1999 (AsylV 1, SR 142.311) wird die asylsuchende Person von einer Person gleichen Geschlechts befragt, wenn konkrete Hinweise auf geschlechtsspezifische Verfolgung vorliegen. Geschlechtsspezifisch ist die Verfolgung dann, wenn sie in der Form sexueller Gewalt stattfindet oder die sexuelle Identität des Opfers treffen soll (BVGE 2015/42 unter Hinweis auf Entscheidungen und Mitteilungen der [vormaligen] Schweizerischen Asylrekurskommission [EMARK] 2003 Nr. 2 E. 5a und b S. 16 ff.). Das Geschlecht soll nach Möglichkeit auch bei der Auswahl der Personen, die als Dolmetscher eingesetzt werden und das Protokoll führen, berücksichtigt werden. Art. 6 AsylV 1 - der bei Frauen und Männern gleichermassen Anwendung findet - ist eine Ausgestaltung des rechtlichen Gehörs, mithin eine Schutzvorschrift, deren Zweck es ist, dass asylsuchende Personen ihre Vorbringen angemessen vortragen, das heisst konkret erlittene Übergriffe möglichst frei und unbeeinträchtigt von Schamgefühlen schildern können. Gleichzeitig dient sie dazu, die Richtigkeit der Sachverhaltsabklärung zu gewährleisten. Da diese Schutzvorschrift nicht bloss ein Recht der asylsuchenden Person beinhaltet, eine solche Befragung zu verlangen, sondern die Behörde dazu verpflichtet, in der vorgesehenen Weise vorzugehen, sobald entsprechende Hinweise vorliegen, ist sie von Amtes wegen anzuwenden. Ein Verzicht der betroffenen asylsuchenden Person auf die Befragung durch eine Person gleichen Geschlechts könnte nur dann angenommen werden, wenn er ausdrücklich erklärt wird (EMARK 2003 Nr. 2 E. 5b/dd und E. 5c S. 19 f.).</w:t>
      </w:r>
    </w:p>
    <w:p>
      <w:r>
        <w:rPr>
          <w:b/>
        </w:rPr>
        <w:t>E. 4.2</w:t>
      </w:r>
    </w:p>
    <w:p>
      <w:r>
        <w:t>Der Beschwerdeführer sagte auf die Frage bei der Anhörung, wie konkret es dann nach (...) zur Freilassung gekommen sei (A10/8 F69), aus, sie hätten ihn einen Tag lang geschlagen, ihm Schwierigkeiten gemacht und (...) mit (...) geschnitten. Sein Vater habe einen Pfarrer mitgebracht, woraufhin er freigelassen worden sei mit der Aufforderung, einmal wöchentlich vorbeizukommen. Zusätzlich hätten sie ihm gesagt, sie würden ihn umbringen, wenn sie ihn irgendwo sehen würden. Ausserdem habe es dort einen Tisch gegeben, bei dem (...) seien. Er habe unter den Tisch gehen müssen, wo man ihn mit (...) und geschlagen habe. Dann hätten sie ihm gesagt, er solle seine Unterhosen ausziehen, er habe sie aber nicht ausgezogen. Dann hätten sie ein (...) an seinen Geschlechtsteil gehalten, irgendwelche Bemerkungen gemacht und gelacht. Mit diesen Aussagen lagen konkrete Hinweise auf eine geschlechtsspezifische Verfolgung (Eingriff in die sexuelle Identität) vor, die zwingend dazu Anlass hätten geben müssen, die Schutzvorschrift von Art. 6 AsylV 1 anzuwenden und den Beschwerdeführer in der Folge durch ein reines Männerteam zu seinen Asylgründen anzuhören (vgl. BVGE 2015/42 E. 5 und die dort zitierte Rechtsprechung). Wie bereits vorstehend (E. 4.1) erwähnt, ist Zweck der Schutzvorschrift von Art. 6 AsylV 1, dass asylsuchende Personen ihre Vorbringen angemessen vortragen, das heisst, konkret erlittene Übergriffe möglichst frei und unbeeinträchtigt von Schamgefühlen schildern können. Zudem dient sie dazu, die Richtigkeit der Sachverhaltsabklärung zu gewährleisten. Vor diesem Hintergrund kann jedenfalls nicht ausgeschlossen werden, dass der Beschwerdeführer aus Scham gegenüber den bei der Anhörung vom 4. Mai 2016 anwesenden Frauen (Hilfswerkvertreterin und Protokollführerin) darauf verzichtet hat, ausführlicher über das bei der Festhaltung Erlittene zu berichten. Angesichts der Tatsache, dass es der Befrager anlässlich der Anhörung unterlassen hat, den Beschwerdeführer über seine diesbezüglichen Rechte aufzuklären, kann ein (...) Verzicht auf eine Anhörung durch ein reines Männerteam ausgeschlossen werden.</w:t>
      </w:r>
    </w:p>
    <w:p>
      <w:r>
        <w:rPr>
          <w:b/>
        </w:rPr>
        <w:t>E. 4.3</w:t>
      </w:r>
    </w:p>
    <w:p>
      <w:r>
        <w:t>Damit ergibt sich, dass die Vorinstanz dadurch, dass sie den Beschwerdeführer trotz klaren Hinweisen auf eine geschlechtsspezifische Verfolgung bei der Anhörung nicht durch ein reines Männerteam zu seinen Asylgründen anhören liess, den Anspruch auf rechtliches Gehör verletzt, den rechtserheblichen Sachverhalt unrichtig respektive unvollständig festgestellt und damit Bundesrecht verletzt hat. Angesichts der formellen Natur des Anspruchs auf rechtliches Gehör spielt von vornherein keine Rolle, ob die Missachtung der Verfahrensvorschrift von Art. 6 AsylV 1 auch Einfluss auf das Ergebnis hatte.</w:t>
      </w:r>
    </w:p>
    <w:p>
      <w:r>
        <w:rPr>
          <w:b/>
        </w:rPr>
        <w:t>E. 5</w:t>
      </w:r>
    </w:p>
    <w:p>
      <w:r>
        <w:t>Beschwerden gegen Verfügungen des SEM betreffend die Verweigerung des Asyls und die Anordnung der Wegweisung haben grundsätzlich reformatorischen und nur ausnahmsweise kassatorischen Charakter (Art. 105 AsylG sowie Art. 6 AsylG i.V.m. Art. 61 Abs. 1 VwVG). Eine reformatorische Entscheidung setzt indessen voraus, dass die Sache entscheidreif ist; dazu muss insbesondere der rechtserhebliche Sachverhalt richtig und vollständig festgestellt worden sein. Dies ist vorliegend nicht der Fall. Es kann nicht Sinn des Beschwerdeverfahrens sein, für eine vollständige Feststellung des rechtserheblichen Sachverhalts zu sorgen, wenn im vorinstanzlichen Verfahren die erforderlichen Sachverhaltsabklärungen unterblieben sind (EMARK 2004 Nr. 38 E. 7). Vorliegend ist es insbesondere nicht Sache des Bundesverwaltungsgerichts, die vom SEM pflichtwidrig unterlassene Anhörung des Beschwerdeführers durch ein reines Männerteam nachzuholen. Abgesehen davon ginge dem Beschwerdeführer dadurch eine Überprüfungsinstanz verloren.</w:t>
      </w:r>
    </w:p>
    <w:p>
      <w:r>
        <w:rPr>
          <w:b/>
        </w:rPr>
        <w:t>E. 6</w:t>
      </w:r>
    </w:p>
    <w:p>
      <w:r>
        <w:t>Bei dieser Sachlage ist die Beschwerde gutzuheissen. Die Verfügung vom 19. Mai 2016 ist aufzuheben und das SEM ist anzuweisen, den Beschwerdeführer durch ein reines Männerteam zu seinen Asylgründen anzuhören, den rechtserheblichen Sachverhalt richtig respektive vollständig festzustellen und über das Asylgesuch neu zu entscheiden. Auf die im Beschwerdeverfahren in kassatorischer und reformatorischer Hinsicht gestellten (weiteren) Rechtsbegehren und Beweisanträge sowie auf die eingereichten Dokumente ist bei diesem Verfahrensausgang nicht einzugehen, zumal es Sache des SEM sein wird, sich damit zu befassen.</w:t>
      </w:r>
    </w:p>
    <w:p>
      <w:r>
        <w:rPr>
          <w:b/>
        </w:rPr>
        <w:t>E. 7.1</w:t>
      </w:r>
    </w:p>
    <w:p>
      <w:r>
        <w:t>Bei diesem Ausgang des Verfahrens sind keine Verfahrenskosten zu erheben (Art. 63 Abs. 1 VwVG). Der am 20. Juli 2016 geleistete Kostenvorschuss von Fr. 600.- ist zurückzuerstatten.</w:t>
      </w:r>
    </w:p>
    <w:p>
      <w:r>
        <w:rPr>
          <w:b/>
        </w:rPr>
        <w:t>E. 7.2</w:t>
      </w:r>
    </w:p>
    <w:p>
      <w:r>
        <w:t>Dem vertretenen Beschwerdeführer ist zulasten der Vorinstanz eine Parteientschädigung für die ihm erwachsenen notwendigen und verhältnismässig hohen Kosten zuzusprechen (Art. 64 Abs. 1 VwVG i.V.m. Art. 7 des Reglements vom 21. Februar 2008 über die Kosten und Entschädigungen vor dem Bundesverwaltungsgericht [VGKE, SR 173.320.2]). Der in der Kostennote vom 20. Juli 2016 geltend gemachte zeitliche Vertretungsaufwand von 19.25 Stunden zu einem Stundenansatz von Fr. 240.- erscheint übertrieben, zumal sich der Rechtsvertreter in seinen Zuschriften und Unterlagen nicht auf Konzises und Notwendiges beschränkte (vgl. Art. 8 Abs. 2 VGKE). Ausserdem ist ein Akteneinsichtsgesuch an die Vorinstanz nicht zu entschädigen. Entschädigungspflichtig ist, wie erwähnt, nur der notwendige Aufwand, weshalb es auch zu berücksichtigen gilt, dass die Beschwerdeeingaben sowohl redundante Passagen als auch weitschweifige Ausführungen zur allgemeinen Lage in Sri Lanka enthalten, die sich auch in Eingaben des Rechtsvertreters in anderen Beschwerdeverfahren finden. Gestützt auf die in Betracht zu ziehenden Bemessungsfaktoren (Art. 9-13 VGKE) und in Berücksichtigung des in der Kostennote noch nicht aufgeführten Aufwandes für die Replik ist das SEM anzuweisen, dem Beschwerdeführer eine Parteientschädigung von Fr. 3'200.- (inkl. Auslagen und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