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E-384/2015 vom 27. Januar 2015</w:t>
      </w:r>
    </w:p>
    <w:p>
      <w:r>
        <w:t>Bundesverwaltungsgericht, 2015-01-27, DE</w:t>
      </w:r>
    </w:p>
    <w:p>
      <w:r>
        <w:rPr>
          <w:b/>
        </w:rPr>
        <w:t xml:space="preserve">Quelle: </w:t>
      </w:r>
      <w:r>
        <w:t>https://mcp.opencaselaw.ch/entscheid/bvger_E-384_2015</w:t>
      </w:r>
    </w:p>
    <w:p>
      <w:r>
        <w:t>FR: TAF E-384/2015 du 27 janvier 2015</w:t>
      </w:r>
    </w:p>
    <w:p>
      <w:r>
        <w:t>IT: TAF E-384/2015 del 27 gennaio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3 AsylG (SR 142.31) an die flüchtlingsrechtliche Beachtlichkeit nicht genügend, weshalb der Beschwerdeführer die Flüchtlingseigenschaft nicht erfülle. So entbehrten die geltend gemachten Benachteiligungen mangels zureichender Intensität und mangels Ersichtlichkeit eines nach Art. 3 AsylG geforderten Motivs der vorausgesetzten Ernsthaftigkeit und mithin Asylrelevanz. Bezüglich der von ihm geltend gemachten Behandlung im Gefängnis und der dort angeblich schlechten Zustände sei - unbesehen der Frage der Glaubhaftigkeit dieser Vorbringen - festzustellen, dass eine Asylgewährung nicht den Ausgleich vergangener Unbill bezwecke und Deutschland zudem ein vorbildlicher Rechtsstaat mit gut funktionierenden Polizei- und Gerichtsorgangen sei, die in der Lage und willens seien, allfällige Haftmissbräuche zu ahnden; eine Furcht vor zukünftigen Belästigungen in der Haft sei daher unbegründet. Ferner handle es sich bei Deutschland um ein "safe country" nach Art. 6a AsylG und es bestünden keine flüchtlings- oder wegweisungsbeachtlichen Gründe gegen eine Rückkehr des Beschwerdeführers dorthin, insbesondere auch keine Vollzugshindernisse im Sinne der Unzulässigkeit, Unzumutbarkeit und Unmöglichkeit. Für den detaillierten Inhalt der Begründung wird auf die Akten verwiesen.</w:t>
      </w:r>
    </w:p>
    <w:p>
      <w:r>
        <w:rPr>
          <w:b/>
        </w:rPr>
        <w:t>E. 5.2</w:t>
      </w:r>
    </w:p>
    <w:p>
      <w:r>
        <w:t>In seiner Beschwerdeschrift korrigiert der Beschwerdeführer zunächst sein Geburtsdatum auf den (...) und das Erwerbsjahr der deutschen Staatsbürgerschaft auf sein (...) Altersjahr. Sodann bekräftigt er zum einen die durchaus gegebene Ernsthaftigkeit des durch die Behinderung seines politischen Programms bewirkten Nachteils und zum andern die Unzulänglichkeit und Gesundheitsgefährdung seiner Wohnung in Deutschland. Hinsichtlich der vom SEM negierten Intensität verweist er im Weiteren auf die im erstinstanzlichen Verfahren eingereichte schriftliche Abfassung seiner Asylgründe. Ferner stellt er klar, dass er nur vorübergehend für ein Jahr Asyl in der Schweiz möchte, damit er in dieser Zeit sein "Innovationsprojekt", welches für die ganze Menschheit von Interesse sei, beenden und von hier aus eine politische Partei in Deutschland gründen könne. Schlecht sei nicht Deutschland als solches, sondern dessen aktuelle Regierung.</w:t>
      </w:r>
    </w:p>
    <w:p>
      <w:r>
        <w:rPr>
          <w:b/>
        </w:rPr>
        <w:t>E. 6.1</w:t>
      </w:r>
    </w:p>
    <w:p>
      <w:r>
        <w:t>In sachverhaltlicher Hinsicht ist zunächst festzuhalten, dass der Beschwerdeführer im erstinstanzlichen Verfahren insbesondere seinen gültigen Pass und seine Identitätskarte zu den Akten gab, wo sich die Dokumente nach wie vor befinden. Die gegenteilige Feststellung in der angefochtenen Verfügung (dort Ziff. I/5: "keine rechtsgenüglichen Reise- oder Identitätspapiere") ist somit aktenwidrig. Dies gilt ebenso betreffend das Geburtsdatum: Dieses wurde vom Beschwerdeführer stets und übereinstimmend mit dem (...) angegeben und deckt sich mit den abgegebenen Identitätsdokumenten, wogegen die Erfassung in der angefochtenen Verfügung (dort: Ziff. I/4: "[...]") unzutreffend ist, aber offensichtlich ein blosses Redaktionsversehen darstellt (vgl. die richtige Erfassung auf dem Deckblatt und auf dem Dispositivblatt der angefochtenen Verfügung). Die Richtigstellung des Beschwerdeführers gründet somit nicht in einer von ihm selber gemachten, vermeintlichen Falschangabe. Seine Richtigstellung betreffend den Erwerb (recte wohl: den nur noch alleinigen Besitz) der deutschen Staatsbürgerschaft erst im (...) Altersjahr nimmt das Gericht zur Kenntnis. Sämtliche erwähnten Korrekturen bleiben offensichtlich und unbestrittenermassen ohne jeglichen Einfluss auf den getroffenen Asyl- und Wegweisungsentscheid.</w:t>
      </w:r>
    </w:p>
    <w:p>
      <w:r>
        <w:rPr>
          <w:b/>
        </w:rPr>
        <w:t>E. 6.2</w:t>
      </w:r>
    </w:p>
    <w:p>
      <w:r>
        <w:t>Das BFM ist ferner in seinen Erwägungen mit überzeugender Begründung zur zutreffenden Erkenntnis gelangt, die Vorbringen des Beschwerdeführers würden den Anforderungen von Art. 3 AsylG an die flüchtlingsrechtliche Beachtlichkeit nicht genügen, weshalb er die Flüchtlingseigenschaft nicht erfülle und keinen Anspruch auf Gewährung des Asyls habe. Auf diese Erwägungen kann zur Vermeidung von Wiederholungen integral verwiesen werden; es ist darin kein Beanstandungspotenzial zu erblicken. Der Inhalt der Beschwerde öffnet offensichtlich keine andere Betrachtungsweise. Der Beschwerdeführer beschränkt sich im Wesentlichen darauf, die Asylrelevanz seiner Vorbringen mittels schlichter Gegenbehauptungen zu bekräftigen. Die Ausführungen bleiben ohne jegliche Stichhaltigkeit und bedürfen keiner näheren Erörterung. Der Beschwerdeführer ist sich offensichtlich nicht bewusst, dass das Asyl dem Schutz vor Verfolgung dient und nicht dem wirtschaftlichen, finanziellen oder sozialen Fortkommen.</w:t>
      </w:r>
    </w:p>
    <w:p>
      <w:r>
        <w:rPr>
          <w:b/>
        </w:rPr>
        <w:t>E. 6.3</w:t>
      </w:r>
    </w:p>
    <w:p>
      <w:r>
        <w:t>Aufgrund des Gesagten ist festzuhalten, dass das BFM das Bestehen einer Verfolgungssituation des Beschwerdeführers und mithin dessen behauptungsgemässen Anspruch auf Gewährung des Asyls zu Recht verneint hat. Es erübrigt sich, auf den Inhalt der Beschwerde vertiefter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8.2</w:t>
      </w:r>
    </w:p>
    <w:p>
      <w:r>
        <w:t>Die Vorinstanz hat in ihrer angefochtenen Verfügung zutreffend erkannt, dass der in Art. 5 AsylG verankerte Grundsatz der Nichtrückschiebung vorliegend mangels Erfüllung der Flüchtlingseigenschaft keine Anwendung findet und auch keine anderweitigen völkerrechtlichen Vollzugshindernisse erkennbar sind. Eine weitergehende Prüfung von Vollzugshindernissen erübrigt angesichts des Umstandes, dass solche weder im gesamten Verfahren geltend gemacht wurden noch aus den Akten hervorgehen.</w:t>
      </w:r>
    </w:p>
    <w:p>
      <w:r>
        <w:rPr>
          <w:b/>
        </w:rPr>
        <w:t>E. 8.3</w:t>
      </w:r>
    </w:p>
    <w:p>
      <w:r>
        <w:t>Zusammenfassend hat die Vorinstanz den Wegweisungsvollzug zu Recht als zulässig, zumutbar und möglich bezeichnet. Eine vorläufige Aufnahme fällt somit ausser Betracht (Art. 83 Abs. 1-4 AuG).</w:t>
      </w:r>
    </w:p>
    <w:p>
      <w:r>
        <w:rPr>
          <w:b/>
        </w:rPr>
        <w:t>E. 9</w:t>
      </w:r>
    </w:p>
    <w:p>
      <w:r>
        <w:t>Aus diesen Erwägungen ergibt sich, dass die angefochtene Verfügung Bundesrecht nicht verletzt und den rechtserheblichen Sachverhalt im Wesentlichen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