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E-3849/2019 vom 8. August 2019</w:t>
      </w:r>
    </w:p>
    <w:p>
      <w:r>
        <w:t>Bundesverwaltungsgericht, 2019-08-08, DE</w:t>
      </w:r>
    </w:p>
    <w:p>
      <w:r>
        <w:rPr>
          <w:b/>
        </w:rPr>
        <w:t xml:space="preserve">Quelle: </w:t>
      </w:r>
      <w:r>
        <w:t>https://mcp.opencaselaw.ch/entscheid/bvger_E-3849_2019</w:t>
      </w:r>
    </w:p>
    <w:p>
      <w:r>
        <w:t>FR: TAF E-3849/2019 du 8 août 2019</w:t>
      </w:r>
    </w:p>
    <w:p>
      <w:r>
        <w:t>IT: TAF E-3849/2019 del 8 agosto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zunächst zum Schluss, die Vorfälle mit den «E._______» im Zeitraum von 2013/14 und 2018 hielten mangels Intensität und/oder Gezieltheit den Anforderungen an die Flüchtlingseigenschaft gemäss Art. 3 AsylG nicht stand. Es sei allgemein bekannt, dass Angehörige der kurdischen Bevölkerung in der Türkei Schikanen und Benachteiligungen verschiedenster Art ausgesetzt seien. Die Vorfälle mit den Mitgliedern der rechtsextremistischen «E._______»-Bewegung erreichten nicht die vom Asylgesetz vorausgesetzte Intensität erlittener Nachteile, welche einen Verbleib im Heimatland verunmöglichten oder unzumutbar erschwerten. Bei den geschilderten Nachteilen handle es sich grundsätzlich um bedauerliche Akte isolierter Gewaltanwendung gegen Personen kurdischer Ethnie, welche in ihrer Intensität jedoch nicht über die Nachteile hinausgingen, welche weite Teile der kurdischen Bevölkerung in der Türkei in ähnlicher Weise treffen könnten. Weiter seien die Vorfälle nicht gezielt gegen den Beschwerdeführer gerichtet gewesen. Er habe berichtet, die Vorfälle in den (...) in den Jahren 2013/14 und 2017 seien darauf zurückzuführen, dass es sich um kurdische Betriebe gehandelt habe. Die Schilderung des Vorfalles im Jahr 2018 lasse ebenfalls nicht auf gezielte Verfolgungsmassnahmen gegen den Beschwerdeführer schliessen. Auch hierbei sei davon auszugehen, dass diese Personen wahllos eine Person kurdischer Ethnie für ihren Gewaltakt ausgewählt hätten und diesen auch eine andere Person hätte treffen können.</w:t>
      </w:r>
    </w:p>
    <w:p>
      <w:r>
        <w:rPr>
          <w:b/>
        </w:rPr>
        <w:t>E. 5.2</w:t>
      </w:r>
    </w:p>
    <w:p>
      <w:r>
        <w:t>Weiter hält die Vorinstanz in der angefochtenen Verfügung fest, die Vorbringen hinsichtlich des Vorfalles mit den Mitgliedern der «E._______»-Bewegung vom (...) 2019 erfüllten die Anforderungen an das Glaubhaftmachen gemäss Art. 7 AsylG nicht. Der Beschwerdeführer habe diesen Vorfall sowie dessen genauen Ablauf mehrere Male und auch auf unterschiedliches Nachfragen hin gleich geschildert und den gleichen Wortlaut verwendet. Seine Schilderungen würden wenig konkret und undifferenziert erscheinen und keine Realitätsmerkmale aufweisen. Als er aufgefordert worden sei, ausführlicher zu schildern, was er genau gesehen habe, als er auf diese beiden Männer und die Frau getroffen sei, habe er die freie Rede zu den Asylgründen quasi wiederholt und sei nicht in der Lage gewesen, diese eine, konkrete Situation differenzierter zu schildern, sodass er in seinen Ausführungen habe unterbrochen werden müssen. Er sei nochmals aufgefordert worden, konkret und ausführlich zu berichten, was er in besagter Situation genau beobachtet habe. Auch die diesbezüglichen Schilderungen würden stereotyp und wenig substantiiert erscheinen. Wäre er tatsächlich an eine solche Situation herangekommen, wäre von ihm zu erwarten gewesen, dass er ausführlicher und differenzierter hätte schildern können, was er genau gesehen habe. Dies insbesondere, da er sich dazu entschlossen haben wolle, in besagte gefährliche Situation einzugreifen. Ein Vergleich mit der Schilderung eines anderen, die Asylgründe nicht betreffenden Ereignisses (im Zusammenhang mit kroatischer Polizei) zeige die Fähigkeit des Beschwerdeführers, auf entsprechende Nachfrage zusätzliche Informationen zu geben und es nicht lediglich mehrfach mit dem gleichen Wortlaut zu wiederholen. Die Aussagen des Beschwerdeführers, wie er konkret vorgegangen sei, als er in die Situation eingegriffen habe, überzeugten nicht. Die diesbezüglichen Schilderungen würden pauschal und wenig konkret erscheinen. Es sei ihm nicht möglich gewesen, substantiiert und nachvollziehbar zu schildern, wie sich der eine Mann mit dem Messer verletzt haben wolle. Sodann seien die Aussagen des Beschwerdeführers, wie seine Freunde herausgefunden haben wollten, um wen es sich bei den beiden Männern beim Vorfall im (...) 2019 gehandelt habe, wenig nachvollziehbar und unsubstantiiert. Es erscheine nicht nachvollziehbar, dass er sich nicht bei seinen Freunden danach erkundigt habe, wie sie die Identitäten der beiden Männer herausgefunden hätten. Auch die Aussage, er habe es nicht als nötig erachtet, sich danach zu erkundigen, und kenne deren Namen nicht, überzeuge nicht. Es scheine für die Beurteilung der persönlichen Gefährdungssituation wesentlich, so viel wie möglich über die Identitäten der in den Vorfall vom (...) 2019 involvierten Männer zu wissen, insbesondere auch, da der Vater einer der beiden ein Polizist in C._______ sein solle.</w:t>
      </w:r>
    </w:p>
    <w:p>
      <w:r>
        <w:rPr>
          <w:b/>
        </w:rPr>
        <w:t>E. 6.1</w:t>
      </w:r>
    </w:p>
    <w:p>
      <w:r>
        <w:t>In der Rechtsmitteleingabe macht der Beschwerdeführer bezüglich des Angriffs im (...) 2018 nach dem Besuch des Büros der HDP in C._______ geltend, bei diesem handle es sich entgegen den Ausführungen der Vorinstanz um einen gezielten Angriff gegen ihn als Person, die mit der HDP in Kontakt stehe beziehungsweise als Mitglied der HDP wahrgenommen werde. Die Vorinstanz hat indes zu Recht festgestellt, dass dieser Vorfall keine gegen den Beschwerdeführer gerichtete Verfolgungsmassnahme darstellt und die Intensität objektiv gesehen zu wenig schwerwiegend ist, um ernsthafte Nachteile - Art. 3 AsylG nennt namentlich die Gefährdung von Leib, Leben oder Freiheit oder das Erzeugen eines unerträglichen psychischen Drucks - zu bejahen. Folglich handelt es sich hierbei nicht um eine asylrelevante Verfolgung, auch wenn das Gericht nicht verkennt, dass die Übergriffe von Angehörigen der «E._______» auf Personen kurdischer Ethnie respektive auf den Beschwerdeführer zu einer Verunsicherung führen. Es handelte sich um ein einmaliges Vorkommnis der direkten Gewaltanwendung gegen den Beschwerdeführer. Anlässlich der Anhörung gab er selbst an, bis zum (...) 2019 sei es zu keinen weiteren konkreten Vorfällen mehr gekommen (vgl. SEM-Akte A25/22 F111). Aufgrund der von ihm geschilderten Umstände dieses Ereignisses ist zudem davon auszugehen, dass es sich bei ihm um ein lediglich zufällig ausgewähltes Opfer gehandelt hat. Ergänzend zu den vorinstanzlichen Ausführungen ist sodann festzuhalten, dass es zwischen dem Übergriff im (...) 2018 und der Ausreise im (...) 2019 am zeitlichen Kausalzusammenhang fehlt. Der Beschwerdeführer gab zwar an, er habe die Türkei bereits früher verlassen wollen und deshalb bei den (...) Behörden im (...) 2018 ein Visumsantrag eingereicht (vgl. SEM-Akte A25/22 F67). Er ist aber nach der Ablehnung des Visumsantrags durch die (...) Behörden weiter in der Türkei geblieben.</w:t>
      </w:r>
    </w:p>
    <w:p>
      <w:r>
        <w:rPr>
          <w:b/>
        </w:rPr>
        <w:t>E. 6.2</w:t>
      </w:r>
    </w:p>
    <w:p>
      <w:r>
        <w:t>Hinsichtlich des Vorfalls im (...) 2019 hält der Beschwerdeführer an der Glaubhaftigkeit seiner Schilderungen fest. Er habe differenziert darüber berichtet. Dass er sich nicht mehr daran erinnern könne, wie der Mann mit dem Messer sich genau verletzt habe, könne nicht als Zeichen der Unglaubhaftigkeit gewertet werden. Er habe nicht darauf geachtet, wie dieser auf das Messer gefallen sei. In so einer Situation stehe man unter Schock und habe viel Adrenalin. Seine Schilderungen, wie er herausgefunden habe, wie es um das Wohlbefinden der beiden Angreifer stehe, seien glaubhaft gewesen. Es habe für ihn keinen Grund gegeben, die Namen der beiden zu kennen, da es ihm nichts genützt hätte. Er habe nach dem Vorfall Angst vor Repressionsmassnahmen gehabt. Vom türkischen Staat würde er keinen Schutz erhalten. Der Umstand, dass der Vater des einen Angreifers Polizist gewesen sei, habe die Sache noch gefährlicher gemacht. Mit diesen Ausführungen zum Vorfall im (...) 2019 gelingt es dem Beschwerdeführer jedoch nicht, den vorinstanzlichen Erwägungen etwas Stichhaltiges entgegenzuhalten. Entgegen der Ansicht des Beschwerdeführers sind die Ausführungen - wie die Vorinstanz zutreffend festhielt - zum Angriff auf das Mädchen respektive zu seinem Eingreifen undifferenziert und unsubstantiiert ausgefallen. Trotz mehrfacher Aufforderung anlässlich der Anhörung, das Ereignis konkreter und ausführlicher zu schildern (vgl. SEM-Akte A25/22 F127 ff.), blieben die diesbezüglichen Antworten des Beschwerdeführers oberflächlich und enthielten keine weiteren konkreten Einzelheiten (vgl. unter anderem a.a.O. F115 und F129). Sie waren weder durch Originalität noch hinreichende Präzision gekennzeichnet. Es wäre trotz Adrenalin zu erwarten gewesen, dass der Beschwerdeführer in der Lage ist, spezifische Einzelheiten zum Handgemenge mit den Männern, insbesondere zu jenem Angreifer mit dem Messer in der Hand, zu nennen. Nicht nachvollziehbar ist sodann die Begründung, weshalb ihn die Identitäten der beiden Angreifer nicht interessiert haben sollen. Insbesondere wenn er sich vor Repressionen fürchtet und einer der Väter der Angreifer Polizist ist, wäre es zu seinem Nutzen, wenn er deren Namen kennen würde. Der Beschwerdeführer vermag mit seinen Darlegungen in der Beschwerde den Vorfall vom (...) 2019 nicht glaubhaft zu machen. Um Wiederholungen zu vermeiden, kann im Übrigen auf die ausführlichen und zutreffenden Erwägungen in der angefochtenen Verfügung verwiesen werden.</w:t>
      </w:r>
    </w:p>
    <w:p>
      <w:r>
        <w:rPr>
          <w:b/>
        </w:rPr>
        <w:t>E. 6.3</w:t>
      </w:r>
    </w:p>
    <w:p>
      <w:r>
        <w:t>Betreffend die Vorfälle in den kurdischen (...) in den Jahren 2013/14 und 2017 ist festzustellen, dass der Beschwerdeführer in der Beschwerde nichts vorbringt, mithin keine Bundesrechtsverletzung rügt. Eine solche ist auch nicht ersichtlich. Es kann diesbezüglich auf die zutreffenden Ausführungen in der angefochtenen Verfügung verwiesen werden. Ergänzend ist lediglich festzuhalten, dass diese Vorfälle zeitlich nicht kausal zur Ausreise des Beschwerdeführers im (...) 2019 gewesen sind.</w:t>
      </w:r>
    </w:p>
    <w:p>
      <w:r>
        <w:rPr>
          <w:b/>
        </w:rPr>
        <w:t>E. 6.4</w:t>
      </w:r>
    </w:p>
    <w:p>
      <w:r>
        <w:t>Insgesamt ergibt sich, dass die Vorinstanz die Flüchtlingseigenschaft zu Recht verneint und das Asylgesuch abgelehnt hat.</w:t>
      </w:r>
    </w:p>
    <w:p>
      <w:r>
        <w:rPr>
          <w:b/>
        </w:rPr>
        <w:t>E. 7.1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nicht von einer Situation allgemeiner Gewalt oder bürgerkriegsähnlichen Verhältnissen in der Türkei - auch nicht für Angehörige der kurdischen Ethnie - auszugehen (vgl. statt vieler Urteile des BVGer D-8410/2015 vom 27. Juni 2019 E. 7.4 und E-6717/2019 vom 12. Dezember 2018 E.7.3.2).</w:t>
      </w:r>
    </w:p>
    <w:p>
      <w:r>
        <w:rPr>
          <w:b/>
        </w:rPr>
        <w:t>E. 8.6</w:t>
      </w:r>
    </w:p>
    <w:p>
      <w:r>
        <w:t>Auch sprechen vorliegend keine individuellen Gründe gegen die Zumutbarkeit des Wegweisungsvollzugs. Der Beschwerdeführer ist gesund (vgl. SEM-Akte A25/22 F5) und kann bei einer Rückkehr auf ein familiäres Umfeld zurückgreifen. So leben gemäss seinen Angaben seine Eltern sowie fünf Geschwister weiterhin im Herkunftsort, B._______, C._______, Provinz D._______ (vgl. a.a.O. F30). Er hat die Sekundarschule abgeschlossen und Berufserfahrung als Kellner sowie als Mitarbeiter auf dem Bau und in einem (...)geschäft (vgl. a.a.O. F46 ff.). Insgesamt ist nicht davon auszugehen, dass der Beschwerdeführer bei einer Rückkehr in die Türkei in eine existentielle Notlage geraten wird. Der Vollzug der Wegweisung ist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w:t>
      </w:r>
    </w:p>
    <w:p>
      <w:r>
        <w:rPr>
          <w:b/>
        </w:rPr>
        <w:t>E. 10.2</w:t>
      </w:r>
    </w:p>
    <w:p>
      <w:r>
        <w:t>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10.4</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