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E-3848/2016 vom 19. Juli 2016</w:t>
      </w:r>
    </w:p>
    <w:p>
      <w:r>
        <w:t>Bundesverwaltungsgericht, 2016-07-19, DE</w:t>
      </w:r>
    </w:p>
    <w:p>
      <w:r>
        <w:rPr>
          <w:b/>
        </w:rPr>
        <w:t xml:space="preserve">Quelle: </w:t>
      </w:r>
      <w:r>
        <w:t>https://mcp.opencaselaw.ch/entscheid/bvger_E-3848_2016</w:t>
      </w:r>
    </w:p>
    <w:p>
      <w:r>
        <w:t>FR: TAF E-3848/2016 du 19 juillet 2016</w:t>
      </w:r>
    </w:p>
    <w:p>
      <w:r>
        <w:t>IT: TAF E-3848/2016 del 19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auf die in der Beschwerde vorgebrachte formelle Rüge einzugehen, wonach die Vorinstanz den Untersuchungsgrundsatz verletzt und den Sachverhalt unrichtig sowie unvollständig erhoben habe. Die Vorin-stanz sei bei der Prüfung des Militärausweises von einer Fälschung ausgegangen, ohne genauere Abklärungen, wie beispielswiese eine Konsultation des Generalkonsulats in Asmara, vorgenommen zu haben. Es dürfe nicht ohne Weiteres davon ausgegangen werden, es handle sich um eine Fälschung, nur weil der Vorinstanz nicht bekannt sei, bis wann solche Ausweise ausgestellt worden seien. Auch müsse eine Abweichung in der Verarbeitung beziehungsweise die Verwendung von einem anderen Stempel als in den Referenzmaterialien der Vorinstanz ebenfalls nicht zwingend bedeuten, es handle sich um ein unechtes Dokument. Ebenfalls müsse berücksichtigt werden, dass die Verwaltung in Eritrea nicht überall einheitlich arbeite und es bei amtlichen Dokumenten leicht zu kleineren formellen Abweichungen kommen könne.</w:t>
      </w:r>
    </w:p>
    <w:p>
      <w:r>
        <w:rPr>
          <w:b/>
        </w:rPr>
        <w:t>E. 5.2</w:t>
      </w:r>
    </w:p>
    <w:p>
      <w:r>
        <w:t>Gemäss Art. 12 VwVG stellt die Behörde den Sachverhalt von Amtes wegen fest. Sie ist in dem Ausmass zur Untersuchung des Sachverhaltes verpflichtet, als man dies vernünftigerweise von ihr erwarten kann. Der Untersuchungsgrundsatz findet seine Grenze an der gesetzlichen Mitwirkungspflicht der Parteien. Art. 13 VwVG verpflichtet die Parteien, an der Feststellung des Sachverhaltes in Verfahren mitzuwirken, die sie durch ihr Begehren eingeleitet haben. Trotz des Untersuchungsgrundsatzes kann sich die entscheidende Behörde in der Regel darauf beschränken, die Vorbringen der Partei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 von Amtes wegen beseitigt werden können (vgl. BVGE 2012/21 E. 5.1). Verletzungen des Untersuchungsgrundsatzes nach Art. 12 VwVG stellen Verletzungen von Bundesrecht dar. Derartige Verletzungen können zudem ergeben, dass die Behörden den rechtserheblichen Sachverhalt unrichtig und unvollständig festgestellt haben (vgl. Krauskopf/Emmenegger/Babey, in: Waldmann/Weissenberger [Hrsg.], Praxiskommentar VwVG, 2016, Art. 12 N. 28 und 63 ff. S. 258 und 266).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1997, S. 79 f.; Urteil des Bundesverwaltungsgerichts E-36/2008 vom 30. November 2011 E. 5.1).</w:t>
      </w:r>
    </w:p>
    <w:p>
      <w:r>
        <w:rPr>
          <w:b/>
        </w:rPr>
        <w:t>E. 5.3</w:t>
      </w:r>
    </w:p>
    <w:p>
      <w:r>
        <w:t>Eine Verletzung formellen Rechts ist vorliegend nicht erkennbar: Die Vorinstanz hat den vom Beschwerdeführer eingereichten Militärausweis sowie die Zulassungskarte von der E._______ amtsintern überprüfen lassen und ist zum Schluss gelangt, dass es sich sowohl beim Militärausweis als auch bei der Zulassungskarte um gefälschte Dokumente handle. Der wesentliche Inhalt des Analyseberichts ist dem Beschwerdeführer mit Schreiben vom 22. April 2016 zur Stellungnahme zugestellt worden. Bezüglich des Militärausweises ist die Vorin-stanz zu folgendem Schluss gekommen: "Aussehen, Inhalt und Druckverfahren des vorliegenden Militärausweises entsprechen dem authentischen Vergleichsmaterial. Der Nassstempel, der das Emblem der eritreischen Armee zeigt, ist im vorliegenden Dokument hingegen rund und unterscheidet sich damit von den Stempeln in allen als Vergleichsmaterial vorliegenden Ausweisen. Die zur Laminierung verwendete Folie ist relativ weich und von Hand zugeschnitten. Im Vergleichsmaterial handelt es sich stets um stabilere, maschinell geschnittene Folien. Der Ausweis trägt als Ausstellungsdatum den 16. Oktober 2011. Auch wenn keine Informationen vorliegen, bis wann der Militärausweis ausgestellt worden ist, wurden alle Militärausweise, die in der Ausweissammlung des SEM vorliegen, zwischen 1996 und 2003 ausgestellt. Auch in der Ausweisdatenbank Document Information System Civil Status (DISGS), Den Haag, sind keine nach 2003 ausgestellten Militärausweise hinterlegt." (vgl. A18/2). Eine weitergehende Prüfung durch das Generalkonsulat, wie vom Beschwerdeführer gefordert, ist vorliegend nicht angezeigt, da solche laminierten Ausweise ohne spezielle Sicherheitskennzeichen einfach fälschbar sind. Selbst wenn dem Konsulat Vergleichsmaterial aus dem Jahre 2011 vorgelegen hätte, käme dem Militärausweis lediglich beschränkte Beweiskraft zu. Im Übrigen scheint es relativ unwahrscheinlich, dass solche Ausweise durch die Behörden von Hand zugeschnitten werden, zumal die älteren Ausweise allesamt maschinell zugeschnitten wurden.</w:t>
      </w:r>
    </w:p>
    <w:p>
      <w:r>
        <w:rPr>
          <w:b/>
        </w:rPr>
        <w:t>E. 5.4</w:t>
      </w:r>
    </w:p>
    <w:p>
      <w:r>
        <w:t>Die Vorinstanz hat sich nach dem Gesagten offensichtlich in genügender Weise mit dem eingereichten Beweismittel befasst. Dem Untersuchungsgrundsatz wurde Genüge getan und der Sachverhalt nicht unvollständig abgeklärt. Die entsprechenden Rügen erweisen sich als unbegründet und es besteht keine Veranlassung, die vorinstanzliche Verfügung zu kassieren, weshalb das entsprechende Rechtsbegehren (Ziff. 2) abzuweisen ist.</w:t>
      </w:r>
    </w:p>
    <w:p>
      <w:r>
        <w:rPr>
          <w:b/>
        </w:rPr>
        <w:t>E. 6.1</w:t>
      </w:r>
    </w:p>
    <w:p>
      <w:r>
        <w:t>Nachfolgend ist zu prüfen, ob das SEM die Flüchtlingseigenschaft des Beschwerdeführers zufolge Unglaubhaftigkeit der Vorbringen im Sinne von Art. 7 AsylG zu Recht verneint hat. Die Vorinstanz stellte diesbezüglich fest, aufgrund der gefälschten Dokumente könne dem Beschwerdeführer nicht geglaubt werden, dass sich die Ereignisse so zugetragen hätten, wie von ihm geschildert. Es könne ihm zudem nicht geglaubt werden, dass er zu der Zeit der Flucht Militärdienst geleistet habe respektive aus dem Militärdienst desertiert sei. Vor diesem Hintergrund müsse auch die angeblich illegale Ausreise bezweifelt werden, da diese in engem kausalen und zeitlichen Zusammenhang mit der angeblichen Desertation steht. Die Zweifel würden dadurch erhärtet, als es dem Beschwerdeführer nicht gelungen sei, seine angeblich illegale Flucht in den Sudan in glaubwürdiger Weise zu schildern. Es sei nämlich schwer nachvollziehbar, wie es ihm gelungen sein solle, ohne Vorbereitungen illegal aus Eritrea auszureisen. Den Aussagen des Beschwerdeführers sei nicht zu entnehmen, dass er sich vorbereitet hätte, wie es vor Antritt einer solchen langen, beschwerlichen und gefährlichen Reise zu erwarten gewesen wäre. Auch sei den Akten nicht zu entnehmen, dass er den Weg gekannt oder er über die wichtigen Ortskenntnisse verfügt hätte. Bezeichnenderweise seien auch die Ausführungen zur Ausreise aus Eritrea unsubstantiiert ausgefallen. Die Schilderungen hätten substanzlos und stereotyp gewirkt und hätten jeglichen Detailreichtum vermissen lassen.</w:t>
      </w:r>
    </w:p>
    <w:p>
      <w:r>
        <w:rPr>
          <w:b/>
        </w:rPr>
        <w:t>E. 6.2</w:t>
      </w:r>
    </w:p>
    <w:p>
      <w:r>
        <w:t>Glaubhaftmachung im Sinne von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6.3</w:t>
      </w:r>
    </w:p>
    <w:p>
      <w:r>
        <w:t>Die Schlussfolgerungen der Vorinstanz sind indessen weder in tatsächlicher noch in rechtlicher Hinsicht zu beanstanden. In der angefochtenen Verfügung wird einlässlich begründet, weshalb ein Grossteil der Aussagen des Beschwerdeführers - unabhängig von den gefälschten Dokumenten - nicht nachvollziehbar und somit unglaubhaft ausgefallen ist. Es kann vollumfänglich auf die Erwägungen in der angefochtenen Verfügung verwiesen werden. An dieser Beweiswürdigung vermag auch die (rein appellatorische) Beschwerdebegründung sowie die mit Schreiben vom 11. Juli 2016 eingereichte Bestätigung des Nationaldienstes vom 16. Oktober 2011 nichts zu ändern. Diese Bestätigung ist nicht geeignet, die Glaubhaftigkeit der Vorbringen des Beschwerdeführers gesamthaft anders zu beurteilen. Die Elemente (die gefälschten Dokumente, die fehlende Nachvollziehbarkeit und Substantiierung), welche gegen die Glaubhaftigkeit sprechen, überwiegen weiterhin. Ferner gilt diese Bestätigung lediglich für den Zeitraum vom 16. Juli 2009 bis zum 16. Oktober 2011 - für welche Periode im Übrigen auch der Militärausweis ausgestellt worden ist - und kann daher nicht als Beweis für die erneute Einberufung in den Nationaldienst im Jahre 2012 dienen, welcher Anlass zur Flucht gewesen sein soll.</w:t>
      </w:r>
    </w:p>
    <w:p>
      <w:r>
        <w:rPr>
          <w:b/>
        </w:rPr>
        <w:t>E. 6.4</w:t>
      </w:r>
    </w:p>
    <w:p>
      <w:r>
        <w:t>Nach dem Gesagten ist es dem Beschwerdeführer nicht gelungen, eine asylrelevante Verfolgungssituation respektive subjektive Nachfluchtgründe glaubhaft darzutun, weshalb das SEM die Flüchtlingseigenschaft zu Recht verneint und das Asylgesuch abgelehnt hat.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nicht über eine fremdenpolizeiliche Aufenthaltsbewilligung. Die Wegweisungsverfügung erfolgte demnach zu Recht (vgl. BVGE 2013/37 E. 4.4; 2009/50 E. 9, je m.w.H.). Da der Beschwerdeführer wegen derzeitiger Unzumutbarkeit des Wegweisungsvollzugs in der Schweiz vorläufig aufgenommen wurde, sind die beiden anderen Bedingungen für einen Verzicht auf den Vollzug der Wegweisung (Unzulässigkeit und Unmöglichkeit) wegen ihrer alternativen Natur - ist eine Bedingung erfüllt, ist der Vollzug der Wegweisung undurchführbar - nicht mehr zu prüfen (vgl. BVGE 2009/51 E. 5.4 S. 748, mit weiterem Hinweisen).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