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E-3834/2016 vom 23. Juni 2016</w:t>
      </w:r>
    </w:p>
    <w:p>
      <w:r>
        <w:t>Bundesverwaltungsgericht, 2016-06-23, DE</w:t>
      </w:r>
    </w:p>
    <w:p>
      <w:r>
        <w:rPr>
          <w:b/>
        </w:rPr>
        <w:t xml:space="preserve">Quelle: </w:t>
      </w:r>
      <w:r>
        <w:t>https://mcp.opencaselaw.ch/entscheid/bvger_E-3834_2016</w:t>
      </w:r>
    </w:p>
    <w:p>
      <w:r>
        <w:t>FR: TAF E-3834/2016 du 23 juin 2016</w:t>
      </w:r>
    </w:p>
    <w:p>
      <w:r>
        <w:t>IT: TAF E-3834/2016 del 23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weshalb die Aussagen widersprüchlich und unglaubhaft ausgefallen sind. Die Rechtsmitteleingabe erschöpft sich in spärlichen Erklärungsversuchen, womit sie nicht aufzeigt, inwiefern die vorinstanzliche Beweiswürdigung Bundesrecht verletzen oder zu einer rechtsfehlerhaften Sachverhaltsfeststellung führen soll. Solches ist auch nicht ersichtlich. Im Zentrum der Fluchtgeschichte steht die Desertion des Beschwerdeführers. Wegen dieser will er "unzählige Male" gesucht worden sein (SEM-Akten, A3, S. 8). Zwischen der Desertion (März 2010) und der Ausreise (Juli 2014) liegen jedoch über vier Jahre, womit der Kausalzusammenhang nicht gegeben und den weiteren Vorbringen der Boden entzogen ist. Hinzu kommt, dass sich der Beschwerdeführer - wie von der Vorinstanz richtig erkannt - in einer Vielzahl von Widersprüchen verstrickt. So macht er beispielsweise anlässlich der Erstbefragung geltend, er sei in dieser Zeit "sehr oft, sehr oft", "unzählige Male" gesucht, manchmal sogar gepackt worden; seine Mutter sei "sehr oft" mitgenommen worden (SEM-Akten, A3, S. 8 f.). Gemäss Zweitbefragung sollen "die Leute" in den vier Jahren mindestens "drei Mal" nach Hause gekommen sein und seine Mutter ein "paar Mal" beziehungsweise nur "einmal" mitgenommen haben (SEM-Akten, A15, S. 15, F169 f. und F172). Widersprüche wie diese kann er nicht plausibel erklären (SEM-Akten, A15, S. 15 f.). Im Gegenteil, will er sogar vergessen haben, selbst gepackt worden zu sein (SEM-Akten, A15, S. 16, F177 f.). Sodann will er gemäss Erstbefragung von der militärischen Ausbildung "abgehauen" sein (SEM-Akten, A3, S. 5). Anlässlich der Zweitbefragung will er jedoch nicht mehr in der militärischen Ausbildung, sondern bereits Soldat gewesen sein (SEM-Akten, A15, S. 13, F141 und S. 16, F185). Nicht weniger unglaubhaft ist das Verstecken im Wald, zumal er dieses in der Erstbefragung nicht erwähnte und angab, mit seiner Mutter und dann mit seiner Partnerin (Konkubinat seit 2012) zusammengelebt zu haben (SEM-Akten, A3, S. 3 und S. 5). Auch die Beschwerde geht von einem Verstecken im Wald aus (Beschwerde S. 3). Es ist jedoch wenig plausibel, dass man sich über vier Jahre im Wald versteckt und gleichzeitig in einem Anstellungsverhältnis in der Landwirtschaft arbeitet (z. B. SEM-Akten, A3, S. 8 f.). Es ist folglich der Vorinstanz beizupflichten, dass die Angaben und Aussagen des Beschwerdeführers unglaubhaft sind. Den oberflächlichen Erklärungsversuchen auf Beschwerdeebene ist nicht zu folgen. Aus der zitierten Rechtsprechung kann der Beschwerdeführer nichts zu seinen Gunsten ableiten. Was die Ausreise aus Eritrea anbelangt, so zeichnet sich kein anderes Bild ab. Es ist zwar in Übereinstimmung mit den Beschwerdeausführungen und der Vorinstanz davon auszugehen,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 Aufgrund der Akten stimmt das Gericht jedoch der Vorinstanz darin zu, dass es den Vorbringen des Beschwerdeführers zur angeblich illegalen Ausreise an Realkennzeichen fehlt und die Fluchtgeschichte unglaubhaft ausgefallen ist. So führt die Vorinstanz zutreffend aus, dass aufgrund der widersprüchlichen und unsubstantiierten Schilderungen die illegale Ausreise im vorgetragenen Sinne nicht geglaubt werden könne. Die Beschwerde hält dem entgegen, es hätten die Real- und Detailkennzeichen bei der Gesamtwürdigung der Ausreise miteinbezogen werden müssen. So habe der Beschwerdeführer nämlich angegeben, dass die Reise drei Tage gedauert habe (Beschwerde S. 5). Ferner habe er sogar zu Protokoll gegeben, dass er diese zu Fuss gemacht habe und anhand der grünen Umgebung gemerkt habe, in Äthiopien zu sein (Beschwerde S. 5). Diese Ausführungen lassen hingegen keinen Gehalt erkennen, der auf eine erlebte Ausreise schliessen lassen würde. Der Beschwerdeführer beschränkt sich zur Ausreise aus Eritrea anlässlich der Erstbefragung auf den folgenden Satz: "Ich ging von Achrur am 19. Juli 2014 zu Fuss nach Äthiopien" (SEM-Akten, A3, S. 7). Als er anlässlich der Zweitbefragung aufgefordert wird, dies genauer auszuführen, häuft sich das Wort "man", was von Unsicherheit und nicht selbst Erlebtem zeugt (SEM-Akten, A15, S. 17, F190). Auf vertieftes Nachfragen erschöpfen sich seine Angaben in Oberflächlichkeit (SEM-Akten, A15, S. 17, F190 f.). Auf Beschwerdeebene wird der Vorinstanz weiter vorgeworfen, keine vertieften und lediglich sieben Fragen zur Ausreise gestellt zu haben (Beschwerde S. 5). Die Fragen und die Menge der Fragen sind jedoch nicht zu beanstanden. Das Antwortverhalten des Beschwerdeführers deutet offensichtlich darauf hin, dass er nicht gewillt ist, genauere Angaben zum Reiseweg zu machen. Im Übrigen endet der Fragenkatalog zur Ausreise nicht auf Seite 17 der Zweitbefragung, wie vom Beschwerdeführer wohl fälschlicherweise angenommen (SEM-Akten, A15, S. 17 f.). Obwohl der Beschwerdeführer die wahren Umstände seiner Ausreise offensichtlich verheimlicht, lässt sich zwar noch nicht mit Bestimmtheit auf eine legale Ausreise schliessen. Aber sie kann auch nicht ausgeschlossen werden. Sich einzig auf die notorisch schwierige Ausreise zu berufen, ohne die konkreten Ausreisegründe und -umstände plausibel darzutun, reicht nicht aus. Die Partei wird nämlich auch unter der oben dargelegten Rechtsprechung nicht davon entbunden, subjektive Nachfluchtgründe nachzuweisen oder zumindest glaubhaft zu machen. Die Beweis- und Substantiierungslast gilt von Gesetzes wegen und wird nicht etwa umgekehrt (Urteile des BVGer E-4799/2012 vom 21. Februar 2014 E. 6.3 und E-2511/2015 vom 17. Juni 2015 E. 5.6). Unter diesen Umständen - und aufgrund der offensichtlich unglaubhaften Vorbringen im erstinstanzlichen Verfahren und des Fehlens nachvollziehbarer Erklärungen auf Beschwerdeebene - ist festzustellen, dass der Beschwerdeführer auch das Vorliegen subjektiver Nachfluchtgründe nicht nachzuweisen oder zumindest glaubhaft zu machen vermag. Aus der betreffend Ausreise zitierten Rechtsprechung kann der Beschwerdeführer ebenfalls nichts zu seinen Gunsten ableiten. So sind beispielsweise die dem Urteil des Bundesverwaltungsgerichts E-5611/2015 vom 6. Januar 2016 zugrunde liegenden Angaben und Aussagen substantiiert ausgefallen. Die Vorinstanz hat zu Recht das Asylgesuch abgelehnt und die Flüchtlingseigenschaft verneint.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Eritrea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Eritrea herrscht keine Situation allgemeiner Gewalt. Bezüglich der persönlichen Situation ist vorauszusetzen, dass begünstigende individuelle Umstände (namentlich ein wirtschaftlich tragfähiges soziales und familiäres Netz oder andere die wirtschaftliche Integration ermöglichende Faktoren) vorliegen (Entscheidungen und Mitteilungen der Schweizerischen Asylrekurskommission [EMARK] 2005 Nr. 12 E. 10.5 - 10.8; in neuerer Rechtsprechung vgl. Urteile des BVGer E-6845/2013 vom 10. Januar 2014 E. 7.2, E-6816/2014 vom 9. Juni 2015 und E-5237/2015 vom 20. Oktober 2015 E. 7.2). In Bezug auf den Beschwerdeführer liegen begünstigende individuelle Umstände vor. Es kann - zusammen mit der Vorinstanz - von einem intakten familiären Beziehungsnetz ausgegangen werden. So wurden ihm seine Identitätskarte und vier Taufscheine von Familienangehörigen aus Eritrea via Sudan in die Schweiz zugestellt (SEM-Akten, A15, S. 2, F4 f.). Ferner leben seine Partnerin, seine zwei Kinder und weitere nahe Verwandte in seinem Herkunftsort in Eritrea (z. B. SEM-Akten, A3, S. 6). Schliesslich handelt es sich beim Beschwerdeführer um einen jungen, gesunden Mann mit mehrjähriger Arbeitserfahrung mit Einkommen vor Ort (z. B. SEM-Akten, A3, S. 9). Der Vollzug der Wegweisung ist zumutbar.</w:t>
      </w:r>
    </w:p>
    <w:p>
      <w:r>
        <w:rPr>
          <w:b/>
        </w:rPr>
        <w:t>E. 6.4</w:t>
      </w:r>
    </w:p>
    <w:p>
      <w:r>
        <w:t>Nach Art. 83 Abs. 2 AuG ist der Vollzug auch als möglich zu bezeichnen, weil es dem Beschwerdeführer obliegt, sich die für eine Rückkehr notwendigen Reisedokumente bei der zuständigen Vertretung seines Heimatstaats zu beschaffen (Art. 8 Abs. 4 AsylG und dazu BVGE 2008/34 E. 12). Der Vollzug der Wegweisung ist möglich.</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