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E-3833/2018 vom 19. Juli 2018</w:t>
      </w:r>
    </w:p>
    <w:p>
      <w:r>
        <w:t>Bundesverwaltungsgericht, 2018-07-19, DE</w:t>
      </w:r>
    </w:p>
    <w:p>
      <w:r>
        <w:rPr>
          <w:b/>
        </w:rPr>
        <w:t xml:space="preserve">Quelle: </w:t>
      </w:r>
      <w:r>
        <w:t>https://mcp.opencaselaw.ch/entscheid/bvger_E-3833_2018</w:t>
      </w:r>
    </w:p>
    <w:p>
      <w:r>
        <w:t>FR: TAF E-3833/2018 du 19 juillet 2018</w:t>
      </w:r>
    </w:p>
    <w:p>
      <w:r>
        <w:t>IT: TAF E-3833/2018 del 19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Neben dem Beschwerdeführer wird in den Begehren auch dessen Familie als Partei genannt. Art. 48 Abs. 1 VwVG nennt die kumulativ zu erfüllenden Voraussetzungen einer Beschwerdelegitimation (vgl. Kölz/Häner/ Bertschi, Verwaltungsverfahren und Verwaltungsrechtspflege des Bundes, 3. Aufl. 2013, Rz. 446; BVGE 2010/12 E. 2.2). Die Ehefrau und die Kinder des Beschwerdeführers A._______ sind vorliegend weder Adressaten der angefochtenen Verfügung (Art. 6 VwVG) noch können sie eine Beschwerdelegitimation aus Art. 48 Abs. 1 VwVG oder einem anderen Bundesgesetz (Art. 48 Abs. 2 VwVG) ableiten. Die Familie des Beschwerdeführers ist demnach nicht beschwerdelegitimiert, weshalb auf deren Anträge nicht einzutreten ist.</w:t>
      </w:r>
    </w:p>
    <w:p>
      <w:r>
        <w:rPr>
          <w:b/>
        </w:rPr>
        <w:t>E. 1.3</w:t>
      </w:r>
    </w:p>
    <w:p>
      <w:r>
        <w:t>Die Beschwerde ist ansonsten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vorstehender Erwägungen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Vorliegende Beschwerde enthält in den Begehren der Beschwerde zwar keine Anträge formeller Art. Implizit werden jedoch in der Begründung eine Verletzung des rechtlichen Gehörs und eine mangelhafte Sachverhaltsfeststellung gerügt, welche vorweg zu prüfen sind, da sie allenfalls eine materielle Behandlung der Beschwerde verunmöglichen können.</w:t>
      </w:r>
    </w:p>
    <w:p>
      <w:r>
        <w:rPr>
          <w:b/>
        </w:rPr>
        <w:t>E. 4.2</w:t>
      </w:r>
    </w:p>
    <w:p>
      <w:r>
        <w:t>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4.2.1</w:t>
      </w:r>
    </w:p>
    <w:p>
      <w:r>
        <w:t>Der Beschwerdeführer rügte zunächst, er sei während der Befragung oft unterbrochen worden, was zu grossen Unsicherheiten geführt habe; nicht jeder Mensch sei fähig, Grosses in wenige Worte zu fassen. Er sei sich auch nicht bewusst gewesen, dass an der summarischen Befragung alles - auch die Asylgründe - wichtig sei. Überdies sei nicht alles protokolliert worden. Auch sei er mit den angeblichen Widersprüchen nicht konfrontiert worden; Missverständnisse und Übersetzungsfehler seien ausserdem nicht auszuschliessen.</w:t>
      </w:r>
    </w:p>
    <w:p>
      <w:r>
        <w:rPr>
          <w:b/>
        </w:rPr>
        <w:t>E. 4.2.2</w:t>
      </w:r>
    </w:p>
    <w:p>
      <w:r>
        <w:t>Bei der Befragung zur Person werden erste Informationen der asylsuchenden Person (z.B. Identität, Herkunft, Ausbildung, Beziehungen, Reiseweg und Ausweispapiere) wie auch deren Asylgründe erfragt. Ferner wird sie über ihre Rechte und Pflichten aufgeklärt. Am Ende wird das Protokoll der Befragung rückübersetzt und mittels Unterschrift bestätigt die asylsuchende Person die Richtigkeit ihrer Aussagen. So wurde auch der Beschwerdeführer anlässlich seiner Befragung vom 10. Dezember 2015 über seine Rechte und insbesondere über seine Mitwirkungspflicht (Art. 8 AsylG) informiert (A3 S. 2). Nachdem er über seine persönlichen Verhältnisse befragt wurde, konnte er - im Bewusstsein, dass es sich dabei um eine summarische Befragung handelt - zu seinen Asylgründen Stellung nehmen (A3 S. 7 f.). Es sind keine Anzeichen erkennbar, dass er dabei unterbrochen wurde. Am Ende bestätigte der Beschwerdeführer, dass das Protokoll seinen Aussagen und der Wahrheit entspreche (A3 S. 9). Später konnte mittels der eingehenden Anhörung der vollständige Sachverhalt erhoben werden. Dabei sind keine Fehler seitens des SEM zu beanstanden. Schliesslich wurde, entgegen den Ausführungen in der Beschwerdeschrift, der Beschwerdeführer angehalten, sich zu angeblichen Widersprüchen zu äussern (A18 F54, 94 ff. und 118 ff.). Nach dem Gesagten schlägt die Rüge einer Verletzung des rechtlichen Gehörs fehl.</w:t>
      </w:r>
    </w:p>
    <w:p>
      <w:r>
        <w:rPr>
          <w:b/>
        </w:rPr>
        <w:t>E. 4.3</w:t>
      </w:r>
    </w:p>
    <w:p>
      <w:r>
        <w:t>Im Verwaltungsverfahren - wie in jedem Rechtanwendungsverfahren - sind die Abklärungen sowie die Feststellung des rechtserheblichen Sachverhalts von zentraler Bedeutung. Die für die Entscheidfindung vorzunehmende Tatsachenfeststellung setzt ihrerseits voraus, dass die Sachlage korrekt und vollständig ermittelt wurde (Art. 12 VwVG; vgl. KRAUSKOPF/EMMENEGGER/BABEY, in: Praxiskommentar Verwaltungsverfahrensgesetz VwVG, Waldmann/Weissenberger [Hrsg.], 2. Aufl. 2016, Art. 12 Rz. 1).</w:t>
      </w:r>
    </w:p>
    <w:p>
      <w:r>
        <w:rPr>
          <w:b/>
        </w:rPr>
        <w:t>E. 4.3.1</w:t>
      </w:r>
    </w:p>
    <w:p>
      <w:r>
        <w:t>Der Beschwerdeführer rügte, dass die Vorinstanz die Tatsache, dass er unter Todesangst von den syrischen Behörden verfolgt sei, nicht verleumden könne. Ferner sei es offensichtlich, dass - wenn die gesuchte Person nicht gefunden werde - die syrischen Behörden dann auf Familienmitglieder zurückgreifen würden (sog. Reflexverfolgung). Diese Fakten, wie auch der Umstand, dass es in casu keine Fluchtalternative gebe, seien von der Vorinstanz nur ungenügend abgeklärt worden.</w:t>
      </w:r>
    </w:p>
    <w:p>
      <w:r>
        <w:rPr>
          <w:b/>
        </w:rPr>
        <w:t>E. 4.3.2</w:t>
      </w:r>
    </w:p>
    <w:p>
      <w:r>
        <w:t>Das SEM hat in seiner Verfügung festgestellt, dass die Vorbringen den Anforderungen an die Glaubhaftigkeit im Sinne von Art. 7 AsylG nicht standhalten würden, so dass deren Asylrelevanz nicht geprüft werden müsse. Aufgrund der unglaubhaften Vorbringen hat es konsequenterweise denn auch keine Fluchtalternativen geprüft. Dieses Vorgehen ist nicht zu beanstanden. Der Beschwerdeführer hat hinsichtlich seiner Angehörigen die Verschlechterung der allgemeinen Lage in Syrien erwähnt (A18 F54). Jedoch sind in den Protokollen keine Anhaltspunkte ersichtlich, welche auf eine Reflexverfolgung hindeuten (A18 F72 ff.). Einzig der Hinweis, dass die Familie einmal während seiner Abwesenheit (A18 F49, 67 und 95 ff.) und einmal nach seiner Ausreise aus Syrien (A18 F15 f.) von syrischen Sicherheitskräften aufgesucht worden sei, reicht nicht aus, zumal sich das SEM nicht mit jeder tatbeständlichen Behauptung auseinandersetzen muss. Zu Recht hat es folglich dieses Kriterium in seiner Verfügung nicht berücksichtigt, besonders da seine Familie immer noch unbehelligt im selben Haus der Grosseltern wohnt (A18 F9 ff.). Die Rüge der mangelhaften Abklärung des rechtserheblichen Sachverhalts ist folglich unbegründet.</w:t>
      </w:r>
    </w:p>
    <w:p>
      <w:r>
        <w:rPr>
          <w:b/>
        </w:rPr>
        <w:t>E. 4.4</w:t>
      </w:r>
    </w:p>
    <w:p>
      <w:r>
        <w:t>Die formellen Rügen erweisen sich nach dem Gesagten als unbegründet. Es besteht daher keine Veranlassung, die Verfügung aus formellen Gründen aufzuheben und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lehnte das Asylgesuch des Beschwerdeführers ab, weil es Zweifel am Wahrheitsgehalt der Vorbringen hegte (Art. 7 AsylG). Das Bundesverwaltungsgericht ist an die rechtliche Begründung der vorinstanzlichen Verfügung nicht gebunden (Art. 62 Abs. 4 VwVG), folglich kann es diese im Ergebnis gleich belassen, ihr aber eine andere Begründung zu Grunde legen. Die Möglichkeit einer solchen Motivsubstitution ist im Grundsatz der Rechtsanwendung von Amtes wegen begründet (vgl. MOSER/BEUSCH/KNEUBÜHLER, Prozessieren vor dem Bundesverwaltungsgericht, 2. Aufl. 2013, Rz. 3.197). Im vorliegenden Fall nimmt das Bundesverwaltungsgericht bezüglich des Kerns der Begründung des Asylgesuchs eine Motivsubstitution im erwähnten Sinn vor und würdigt die Verfolgungsvorbringen nachfolgend unter dem Gesichtspunkt von Art. 3 AsylG.</w:t>
      </w:r>
    </w:p>
    <w:p>
      <w:r>
        <w:rPr>
          <w:b/>
        </w:rPr>
        <w:t>E. 6.2</w:t>
      </w:r>
    </w:p>
    <w:p>
      <w:r>
        <w:t>Bezüglich einer Verfolgungsmassnahme gilt festzuhalten, dass Angriffe auf die in Art. 3 Abs. 2 AsylG genannten Rechtsgüter dann asylrelevant sind, wenn sie eine bestimmte Intensität aufweisen. So muss beispielsweise zur Gefährdung des Lebens eine direkte und ernsthafte Todesgefahr vorliegen. Eine Gefährdung des Leibes erreicht die geforderte Intensität dann, wenn dem Betroffenen ernsthafte Verletzungen (physischer oder psychischer Natur) zugefügt worden sind oder er diese zu befürchten hat. Leichtere Eingriffe erreichen die nötige Intensität nicht. Bei der Beurteilung, ob die erlittenen Eingriffe intensiv genug sind, ist jedoch mitzuberücksichtigen, dass mehrere Eingriffe in die in Art. 3 AsylG genannten Rechtsgüter, die zwar für sich allein die nötige Intensität nicht erreichen, insgesamt gesehen das Mass des Erträglichen überschreiten können (vgl. Urteil des BVGer D-6214/2014 vom 2. Februar 2017 E. 4.1.1).</w:t>
      </w:r>
    </w:p>
    <w:p>
      <w:r>
        <w:rPr>
          <w:b/>
        </w:rPr>
        <w:t>E. 6.3</w:t>
      </w:r>
    </w:p>
    <w:p>
      <w:r>
        <w:t>Sicherheitskräfte hätten einmal während des Aufenthaltes des Beschwerdeführers im Camp der FSA und einmal nach seiner Ausreise aus Syrien im (...) 2015 seine Familie aufgesucht und sich nach ihm erkundigt (A3 S. 7; A18 F15 f., 49, 67 und 95 ff.); weitere behördliche Massnahmen sind den Akten nicht zu entnehmen. Ein solcher Besuch der Behörden im Haus der Familie stellt kein asylbegründender Angriff auf die in Art. 3 Abs. 2 AsylG genannten Rechtsgüter dar. Was alles hätte passieren können, wenn der Beschwerdeführer zu Hause gewesen wäre, sind reine Spekulationen von seiner Seite. Es ist eher von einer behördlichen Befragung zu allfälligen Angaben der Nachbarn auszugehen. Eine Furcht vor weitergehenden Massnahmen ist unbegründet, da der Beschwerdeführer vor diesem Ereignis nie Probleme mit den syrischen Behörden hatte (A18 F68 ff.) und die Familie bis heute unbehelligt im gleichen Haus in B._______ lebt (A18 F9 ff. und 35).</w:t>
      </w:r>
    </w:p>
    <w:p>
      <w:r>
        <w:rPr>
          <w:b/>
        </w:rPr>
        <w:t>E. 6.4</w:t>
      </w:r>
    </w:p>
    <w:p>
      <w:r>
        <w:t>Die notwendige Intensität der Beeinträchtigung des Beschwerdeführers ist im vorliegenden Fall nach dem Gesagten nicht erreicht. Es besteht ferner kein begründeter Anlass zur Annahme, dass sich in absehbarer Zukunft und mit beachtlicher Wahrscheinlichkeit eine Verfolgung verwirklichen wird. Die angefochtene Verfügung ist folglich im Ergebnis zu bestätigen.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7.2</w:t>
      </w:r>
    </w:p>
    <w:p>
      <w:r>
        <w:t>Die wegen unzumutbaren Wegweisungsvollzugs gewährte vorläufige Aufnahme des Beschwerdeführers bleibt davon unberührt.</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Der Beschwerdeführer ersuchte um Gewährung der unentgeltlichen Prozessführung. Aufgrund obiger Erwägungen ist die eingereichte Beschwerde als aussichtslos zu erachten, weshalb das Gesuch um Gewährung der unentgeltlichen Prozessführung im Sinne von Art. 65 Abs. 1 VwVG abzuweisen ist. 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Entscheid in der Hauptsache ist das Gesuch um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