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E-3832/2018 vom 7. Dezember 2020</w:t>
      </w:r>
    </w:p>
    <w:p>
      <w:r>
        <w:t>Bundesverwaltungsgericht, 2020-12-07, FR</w:t>
      </w:r>
    </w:p>
    <w:p>
      <w:r>
        <w:rPr>
          <w:b/>
        </w:rPr>
        <w:t xml:space="preserve">Quelle: </w:t>
      </w:r>
      <w:r>
        <w:t>https://mcp.opencaselaw.ch/entscheid/bvger_E-3832_2018</w:t>
      </w:r>
    </w:p>
    <w:p>
      <w:r>
        <w:t>FR: TAF E-3832/2018 du 7 décembre 2020</w:t>
      </w:r>
    </w:p>
    <w:p>
      <w:r>
        <w:t>IT: TAF E-3832/2018 del 7 dicembre 2020</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statuer définitivement sur la présente cause.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recourir. Présenté dans la forme et dans le délai prescrits par la loi, le recours est recevable (cf.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n'a pas mis en doute la vraisemblance des allégués du recourant. Il a toutefois considéré que les recherches entreprises à son encontre par les autorités de son pays d'origine et une sanction pour refus de servir en cas de retour d'Arménie n'étaient pas pertinentes en matière d'asile, dans la mesure où tout Etat est légitimé à sanctionner les personnes qui n'accomplissent pas le service militaire auquel elles sont astreintes (cf. arrêt du TAF D-4249/2015 du 1er octobre 2015 et D-6045/2015 du 13 novembre 2015). Il a relevé que rien n'indiquait que l'intéressé puisse être passible de sanctions disproportionnées et qu'une éventuelle affectation à une unité sise dans le Haut-Karabagh n'était pas déterminante pour la reconnaissance de la qualité de réfugié.</w:t>
      </w:r>
    </w:p>
    <w:p>
      <w:r>
        <w:rPr>
          <w:b/>
        </w:rPr>
        <w:t>E. 3.2</w:t>
      </w:r>
    </w:p>
    <w:p>
      <w:r>
        <w:t>Le recourant réitère dans son mémoire les faits allégués lors de ses auditions. Il fait valoir qu'il a toutes raisons de craindre de faire l'armée dans le Haut-Karabagh, zone de combats où il risquerait sa vie. Il affirme redouter de sérieux préjudices du fait de son exil et de sa « désertion ».</w:t>
      </w:r>
    </w:p>
    <w:p>
      <w:r>
        <w:rPr>
          <w:b/>
        </w:rPr>
        <w:t>E. 3.3</w:t>
      </w:r>
    </w:p>
    <w:p>
      <w:r>
        <w:t>Le recours ne contient toutefois aucun argument de nature à contester valablement la motivation fondée du SEM quant à la pertinence des faits allégués.</w:t>
      </w:r>
    </w:p>
    <w:p>
      <w:r>
        <w:rPr>
          <w:b/>
        </w:rPr>
        <w:t>E. 3.3.1</w:t>
      </w:r>
    </w:p>
    <w:p>
      <w:r>
        <w:t>Selon ses déclarations, faites lors de l'audition sur ses motifs, le recourant serait passible de deux ans de prison, et devrait en outre accomplir deux ans de service (cf. Q. 22 et 29). Il n'est pas nécessaire de trancher la question de savoir s'il pourrait encore être astreint à accomplir son service militaire alors qu'il a, aujourd'hui, atteint l'âge limite de recrutement, qu'il a d'ailleurs évoqué lui-même (cf. procès-verbal [ci-après : pv] d'audition au CEP pt 7.02 p. 7 ; cf. aussi Bundes Amt für Migration und Flüchtlinge (BAFM), Länderreport 15, septembre 2019, consulté sur le site www. bafm.de, le 10 novembre 2020). On peut aussi laisser indécise la question de la durée de la peine qui pourrait lui être concrètement infligée et celle de savoir s'il pourrait éviter une peine d'emprisonnement en s'acquittant du paiement d'une amende. En effet, ni l'obligation d'effectuer le service militaire en tant que telle, ni la sanction applicable en cas de réfraction, ne sont en soi des persécutions, au sens de l'art. 3 LAsi. Comme l'a retenu le SEM, contraindre ses ressortissants à accomplir leurs obligations miliaires et sanctionner les refus sont des actes légitimes de la part d'un Etat. Et rien ne permet, dans le cas concret, d'affirmer que les sanctions pourraient être particulièrement lourdes pour des motifs inhérents à la personne du recourant et donc pertinentes au regard de la disposition précitée (« polit malus »).</w:t>
      </w:r>
    </w:p>
    <w:p>
      <w:r>
        <w:rPr>
          <w:b/>
        </w:rPr>
        <w:t>E. 3.3.2</w:t>
      </w:r>
    </w:p>
    <w:p>
      <w:r>
        <w:t>Le recourant a fait allusion, lors de l'audition sur ses motifs d'asile toujours, au fait que les conscrits revenant de pays européens ou des Etats-Unis seraient considérés comme des traitres, qu'ils seraient particulièrement maltraités à l'armée et qu'il y aurait de nombreux incidents violents ou suicides les concernant (cf. Q. 30). De nombreux observateurs font en effet, depuis plusieurs années, état d'incidents du type de ceux allégués par l'intéressé au sein de l'armée ; il y a notamment un taux anormalement élevé de décès hors combats et de suicides parmi les conscrits. Il n'est pas exclu que de tels incidents perdurent en dépit des mesures de contrôle mises en oeuvre au sein de l'armée pour améliorer la situation (cf. notamment United States Department of States ; Country Report on Human Rights Practises, Armenia, 2019 ; Office français de protection des réfugiés et apatrides (OFPRA), Rapport de mission en Arménie du 15 au 21 juillet 2018, 2019). Cela dit, il ne ressort pas de ces rapports que ces incidents concerneraient de manière ciblée les personnes revenant d'un séjour prolongé en Europe. Enfin, même s'il a le sentiment subjectif que la sanction dont il est passible est injuste du fait qu'il refuse de servir par peur pour sa vie, il n'en demeure pas moins qu'objectivement elle constitue une mesure légitime de l'Etat. Le recourant a, lors de ses auditions, exprimé encore son incompréhension, voire son désaccord face à l'intervention de l'armée arménienne dans une région sise en dehors des frontières de son pays. Indépendamment de la question de la légitimité de l'engagement de l'armée arménienne dans le conflit du Haut-Karabagh, il n'existe aucun élément dans ses déclarations ni indice au dossier permettant d'affirmer que l'affectation à une unité de l'armée opérant dans cette région pourrait l'être pour des motifs prévus par l'art. 3 LAsi. La situation dans cette région est d'ailleurs fluctuante depuis de nombreuses années. Les combats qui avaient activement repris récemment, à la fin du mois de septembre 2020, ont été interrompus par un accord de cessez-le-feu signé le 10 novembre 2020. Si celui-ci ne permet bien entendu pas de conclure à un apaisement durable ou définitif dans le conflit, du fait notamment de la forte réaction de désapprobation que l'accord a suscitée dans la population arménienne, il implique qu'il n'y a pas lieu, actuellement, de retenir qu'à son retour au pays, le recourant se verra envoyer au combat dans la région concernée.</w:t>
      </w:r>
    </w:p>
    <w:p>
      <w:r>
        <w:rPr>
          <w:b/>
        </w:rPr>
        <w:t>E. 3.4</w:t>
      </w:r>
    </w:p>
    <w:p>
      <w:r>
        <w:t>En définitive, le SEM a retenu avec raison que les faits allégués ne conduisaient pas à la reconnaissance de la qualité de réfugié. Partant, il a à juste titre rejeté la demande d'asile de l'intéressé.</w:t>
      </w:r>
    </w:p>
    <w:p>
      <w:r>
        <w:rPr>
          <w:b/>
        </w:rPr>
        <w:t>E. 4</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En l'occurrence, le Tribunal considère que le recourant n'a pas établi l'existence d'un risque personnel concret et avéré de traitement illicite en cas de retour en Arménie. Certes, comme dit plus haut, des décès en dehors des combats et des suicides ont été dénoncés dans l'armée arménienne, permettant de supposer l'existence de cas de mauvais traitements. Cela ne suffit toutefois pas à établir que ceux-ci sont généralisés ou du moins répandus dans ampleur telle qu'il y aurait lieu de conclure de manière certaine que l'exécution du renvoi expose le recourant à des traitements prohibés, à supposer, toujours, qu'il puisse encore être astreint à servir dans l'armée, bien qu'ayant atteint l'âge limite du recrutement. Par ailleurs, ni les déclarations du recourant ni les rapports d'observateurs du terrain concernant la situation des droits de l'homme en Arménie ne permettent d'affirmer que le recourant est exposé à un risque réel de sanction militaire équivalant à un traitement prohibé. 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8.1.1</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zone de conflit du Haut-Karabagh, dans laquelle était engagée l'armée arménienne, est située en dehors des frontières officielles du pays. Comme déjà dit, le cessez-le-feu signé le 10 novembre 2020, qui consacre la victoire de l'Azerbaïdjan, a entraîné une réaction de colère et des manifestations à Erevan. Les tensions politiques liées à ce contexte troublé ne constituent toutefois pas un obstacle au renvoi des ressortissants arméniens, au sens de la disposition précitée.</w:t>
      </w:r>
    </w:p>
    <w:p>
      <w:r>
        <w:rPr>
          <w:b/>
        </w:rPr>
        <w:t>E. 8.1.2</w:t>
      </w:r>
    </w:p>
    <w:p>
      <w:r>
        <w:t>En outre, il ne ressort du dossier aucun élément dont on pourrait inférer que l'exécution du renvoi impliquerait une mise en danger concrète du recourant en raison de sa situation personnelle. Le recourant est jeune, au bénéfice d'une expérience professionnelle et n'a pas allégué de problème de santé particulier. Le fait qu'il a vécu de nombreuses années en Suisse, comme son intégration dans ce pays, ne sont, comme l'a relevé le SEM, pas pertinents au regard de l'art. 83 al. 4 LEI, qui ne permet pas de tenir compte des intérêts personnels du recourant à demeurer en Suisse, mais uniquement des obstacles de nature à le mettre en danger dans son pays d'origine. Or, il sied à ce sujet de relever que le recourant a effectué ses premières classes en Arménie et a toujours vécu avec les membres de sa famille. Il parle la langue arménienne et ses parents résident dans ce pays, de même que d'autres membres de sa parenté. Il n'est plus un adolescent. Compte tenu de son âge, il n'y a pas lieu de conclure à un risque de déstabilisation de nature à mettre concrètement en danger son intégrité physique et psychique. Les arguments développés dans le recours, relatifs à son intégration en Suisse, ne sont pas pertinents dans le cadre de la présente procédure.</w:t>
      </w:r>
    </w:p>
    <w:p>
      <w:r>
        <w:rPr>
          <w:b/>
        </w:rPr>
        <w:t>E. 8.2</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Au vu de ce qui précède, la décision du SEM apparaît également fondée en tant qu'elle ordonne l'exécution du renvoi du recourant et l'exécution de cette mesure. Partant, le recours doit également être rejeté sur ces points.</w:t>
      </w:r>
    </w:p>
    <w:p>
      <w:r>
        <w:rPr>
          <w:b/>
        </w:rPr>
        <w:t>E. 11</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Ceux-ci sont entièrement couverts par l'avance de frais versée le 19 juillet 2018.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