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E-3830/2019 vom 10. Oktober 2019</w:t>
      </w:r>
    </w:p>
    <w:p>
      <w:r>
        <w:t>Bundesverwaltungsgericht, 2019-10-10, DE</w:t>
      </w:r>
    </w:p>
    <w:p>
      <w:r>
        <w:rPr>
          <w:b/>
        </w:rPr>
        <w:t xml:space="preserve">Quelle: </w:t>
      </w:r>
      <w:r>
        <w:t>https://mcp.opencaselaw.ch/entscheid/bvger_E-3830_2019</w:t>
      </w:r>
    </w:p>
    <w:p>
      <w:r>
        <w:t>FR: TAF E-3830/2019 du 10 octobre 2019</w:t>
      </w:r>
    </w:p>
    <w:p>
      <w:r>
        <w:t>IT: TAF E-3830/2019 del 10 ottobre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Verfahren wird gestützt auf Art. 33a Abs. 2 VwVG in deutscher Sprache geführt, nachdem die Eingaben des Beschwerdeführers im Beschwerdeverfahren in deutscher Sprache erfolgt sind.</w:t>
      </w:r>
    </w:p>
    <w:p>
      <w:r>
        <w:rPr>
          <w:b/>
        </w:rPr>
        <w:t>E. 1.6</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machte in seinem neuen Asylgesuch geltend und rügt in der Beschwerde in formeller Hinsicht, das SEM habe es im ordentlichen Asylverfahren versäumt, dem Alter und der Unerfahrenheit des Beschwerdeführers Rechnung zu tragen (Massnahmen zum Schutz unbegleiteter Minderjähriger seien zu Unrecht nicht getroffen worden, vgl. Beschwerde S. 7 f.).</w:t>
      </w:r>
    </w:p>
    <w:p>
      <w:r>
        <w:rPr>
          <w:b/>
        </w:rPr>
        <w:t>E. 3.2</w:t>
      </w:r>
    </w:p>
    <w:p>
      <w:r>
        <w:t>Auf diese Vorbringen ist die Vorinstanz in der angefochtenen Verfügung zu Recht nicht weiter eingegangen. Gemäss Art. 17 Abs. 3 AsylG wird für unbegleitete minderjährige Asylsuchende eine Vertrauensperson durch die kantonalen Behörden bestimmt. Der Beschwerdeführer war zum Zeitpunkt seines ersten Asylgesuchs bei den Schweizer Behörden am Flughafen B._______ am 16. Juli 2016 volljährig. Konkret war er 18 Jahre und knapp 7 Monate alt. Das SEM sah sich zum damaligen Zeitpunkt somit zu Recht nicht veranlasst, Massnahmen zum Schutz des Kindes beziehungsweise des Kindeswohls einzuleiten. Die Vor-aussetzung zur Beiordnung einer Vertrauensperson im Sinne von Art. 17 Abs. 3 AsylG, namentlich die Minderjährigkeit, war vorliegend nicht gegeben. Andere Gründe, die trotz der Volljährigkeit des Beschwerdeführers Massnahmen zu dessen Gunsten erforderlich gemacht hätten, gehen aus den Akten nicht hervor. Bei der Würdigung der Aussagen des Beschwerdeführers in der BzP und der Anhörung wurde der Tatsache hinreichend Rechnung getragen, dass er damals noch ein sehr junger Erwachsener war und mit den Verhältnissen in der Schweiz nicht vertraut war. Der Beschwerdeführer hat sich betreffend die Befragungen im Rahmen des ordentlichen Asylverfahrens auch über keinerlei Verständigungsschwierigkeiten beklagt (vgl. A9/21, A12/12). Entgegen der Behauptung in der Beschwerde, dem Beschwerdeführer sei der Asylentscheid des SEM nicht übersetzt worden, geht aus den vorinstanzlichen Akten klar hervor, dass die Verfügung des SEM vom 3. August 2016 dem Beschwerdeführer am 4. August 2016, am Flughafen B._______, um 10.00 Uhr, eröffnet und durch eine(n) Dolmetscher/in auf Farsi übersetzt worden ist (vgl. SEM-Akten A17/1). An dieser Stelle kann im Übrigen auf die Erwägungen des SEM verwiesen werden (vgl. Verfügung vom 24. Juni 2019 unter II. Ziff. 2, S. 2 f.).</w:t>
      </w:r>
    </w:p>
    <w:p>
      <w:r>
        <w:rPr>
          <w:b/>
        </w:rPr>
        <w:t>E. 3.3</w:t>
      </w:r>
    </w:p>
    <w:p>
      <w:r>
        <w:t>Der Beschwerdeführer hatte in seinem Gesuch vom 16. April 2019 geltend gemacht, er könne mit neuen Tatsachen und Beweismittel ein «qualifiziertes» Wiedererwägungsgesuch begründen, weil seine neuen Vorbringen auch in revisionsrechtlicher Hinsicht als erheblich erschienen und deshalb einen Anspruch auf materielle Behandlung begründen würden. Das SEM hat hierzu zu Recht festgehalten, dass die fraglichen Vorbringen bereits im Rahmen des ordentlichen Asylverfahrens hätten geltend gemacht werden können und sie in revisionsrechtlicher Hinsicht (im Sinne eines qualifizierten Wiedererwägungsgesuchs gemäss Art. 66 VwVG) deshalb unerheblich seien. Dies ist zutreffend. Die Verfügung des SEM vom 3. August 2016 blieb durch den Beschwerdeführer unangefochten und erwuchs in Rechtskraft. Somit hat der Beschwerdeführer darauf verzichtet, entsprechende Rügen im Rahmen eines ordentlichen Beschwerdeverfahrens vorzutragen.</w:t>
      </w:r>
    </w:p>
    <w:p>
      <w:r>
        <w:rPr>
          <w:b/>
        </w:rPr>
        <w:t>E. 3.4</w:t>
      </w:r>
    </w:p>
    <w:p>
      <w:r>
        <w:t>Nach dem Gesagten vermag der Beschwerdeführer mit seiner formellen Rüge nicht durchzudringen.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sind anzunehmen, wenn eine asyl-suchende Person erst durch die unerlaubte Ausreise aus dem Heimat- oder Herkunftsstaat oder wegen ihres Verhaltens nach der Ausreise eine Verfolgung im Sinn von Art. 3 AsylG zu befürchten hat. Als subjektive Nachfluchtgründe gemäss Art. 54 AsylG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 Massgeblich ist - entgegen den unzutreffenden Ausführungen der Vorin-stanz in der angefochtenen Verfügung, wonach vorliegend der Massstab von Art. 3 EMRK anzulegen sei -, ob die betreffende Person die Flüchtlingseigenschaft erfüllt. Anzulegen ist der Massstab der begründeten Furcht im Sinne von Art. 3 AsylG.</w:t>
      </w:r>
    </w:p>
    <w:p>
      <w:r>
        <w:rPr>
          <w:b/>
        </w:rPr>
        <w:t>E. 5.1</w:t>
      </w:r>
    </w:p>
    <w:p>
      <w:r>
        <w:t>Das SEM hielt zu den im Rahmen des neuen Asylgesuchs vorgebrachten exilpolitischen Aktivitäten im Wesentlichen fest, der Beschwerdeführer engagiere sich nicht in einem hinlänglich exponierten Ausmass, das ihn in den Augen des iranischen Regimes als gefährlichen Opponenten erscheinen lassen könnte. Was seine regelmässigen Publikationen in der Monatszeitschrift von C._______ betreffe, bleibe deren Inhalt - wie er aus den eingereichten Übersetzungen hervorgehe - bloss allgemein in seiner Kritik und gehe nicht über weit verbreitete Positionen vieler Iraner im Exil hinaus; eine Gefährdung ergebe sich hieraus nicht.</w:t>
      </w:r>
    </w:p>
    <w:p>
      <w:r>
        <w:rPr>
          <w:b/>
        </w:rPr>
        <w:t>E. 5.2</w:t>
      </w:r>
    </w:p>
    <w:p>
      <w:r>
        <w:t>In der Beschwerde wird allerdings zutreffend darauf hingewiesen, dass von den Publikationen des Beschwerdeführers keine Übersetzungen, sondern lediglich kurze, wenige Zeilen umfassende Inhaltsangaben vorliegen. Die Vorinstanz hat weder den Beschwerdeführer aufgefordert, für Übersetzungen der Texte besorgt zu sein, noch hat sie von Amtes wegen Übersetzungen erstellen lassen. Das Gesuch des Beschwerdeführers um unentgeltliche Rechtspflege im vorinstanzlichen Verfahren - welches er gerade auch im Zusammenhang damit, er könne selber keine Übersetzungen bezahlen, gestellt hat - wurde von der Vorinstanz nicht behandelt. Auch die Auferlegung einer Gebühr in der vorinstanzlichen Verfügung erfolgte ohne eine Auseinandersetzung mit dem Gesuch um unentgeltliche Rechtspflege.</w:t>
      </w:r>
    </w:p>
    <w:p>
      <w:r>
        <w:rPr>
          <w:b/>
        </w:rPr>
        <w:t>E. 6.1</w:t>
      </w:r>
    </w:p>
    <w:p>
      <w:r>
        <w:t>Das Asylverfahren wird vom Untersuchungsgrundsatz beherrscht (Art. 12 VwVG i.V.m. Art. 6 AsylG). Die Behörden sind verpflichtet, von Amtes wegen für die richtige und vollständige Abklärung des rechtserheblichen Sachverhaltes zu sorgen.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Die asylsuchende Person hat auf der anderen Seite gemäss Art. 8 AsylG eine Pflicht, an der Feststellung des Sachverhalts mitzuwirken.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6.2</w:t>
      </w:r>
    </w:p>
    <w:p>
      <w:r>
        <w:t>Das Bundesverwaltungsgericht teilt die Einschätzung, dass der rechtserhebliche Sachverhalt nicht genügend abgeklärt und gewürdigt worden ist, was die neuen Vorbringen des Beschwerdeführers zu seinen exilpolitischen Aktivitäten anbelangt. Namentlich ist eine seriöse Einschätzung der Publikationen, die der Beschwerdeführer in der Monatszeitschrift einer exilpolitisch oppositionellen Vereinigung seit nunmehr anderthalb Jahren regelmässig veröffentlicht, offensichtlich ohne Übersetzungen der entsprechenden Texte nicht möglich; dass es sich bei den in den Rechtsschriften des Beschwerdeführers angegebenen Inhaltsangaben lediglich um rudimentäre Zusammenfassungen handelte, wurde immer deutlich ausgewiesen. Mit diesen Kurzzusammenfassungen durfte sich die Vorinstanz zur Beurteilung der exilpolitischen Exponiertheit des Beschwerdeführers nicht begnügen, handelt es sich doch in der Tat bloss um äusserst knappe Zusammenfassungen, die sich auf wenige Zeilen beschränken und die den eigentlichen Inhalt der Artikel, welcher für die Beurteilung eines subjektiven Nachfluchtgrunds relevant wäre, nicht erhellen. Der Beschwerdeführer macht zu Recht geltend, es sei im Rahmen der Untersuchungsmaxime Pflicht der Behörden, für Übersetzungen besorgt zu sein. Ob die Übersetzungen von Amtes wegen zu erstellen sind oder aber der betreffende Gesuchsteller für diese besorgt zu sein hat, wozu er von der Vorinstanz aufzufordern wäre, beurteilt sich nach den Regeln der Gewährung der unentgeltlichen Rechtspflege. Nachdem keine Übersetzungen vorliegen, ist der entscheidrelevante Sachverhalt nicht vollständig abgeklärt. Die Rüge des Beschwerdeführers, die Vorinstanz habe das Dossier somit nur oberflächlich geprüft, erweist sich als begründet.</w:t>
      </w:r>
    </w:p>
    <w:p>
      <w:r>
        <w:rPr>
          <w:b/>
        </w:rPr>
        <w:t>E. 6.3</w:t>
      </w:r>
    </w:p>
    <w:p>
      <w:r>
        <w:t>Zusammenfassend ist festzuhalten, dass das SEM den rechtserheblichen Sachverhalt unvollständig abgeklärt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Das Bundesverwaltungsgericht stellt fest, dass die Entscheidreife im vorliegenden Verfahren sich nicht mit geringem Aufwand herstellen lässt, weshalb es angezeigt ist, die angefochtene Verfügung gestützt auf Art. 61 Abs. 1 in fine VwVG aufzuheben und die Sache zwecks vollständiger Abklärung des rechtserheblichen Sachverhalts und zur Neubeurteilung an das SEM zurückzuweisen. Vorliegend liegt der Mangel in einer unvollständigen Sachverhaltsfeststellung, wobei die unterbliebenen notwendigen Abklärungen eine relativ aufwändige und umfangreiche Beweiserhebung darstellen, was den Rahmen des Beschwerdeverfahrens sprengt, weshalb sich eine Kassation der angefochtenen Verfügung rechtfertigt. Im Übrigen bleibt auf diese Weise der Instanzenzug erhalten, was umso wichtiger ist, als das Bundesverwaltungsgericht letztinstanzlich entscheidet. Die im Beschwerdeverfahren eingereichten Unterlagen werden ebenfalls Gegenstand des wiederaufzunehmenden erstinstanzlichen Verfahrens sein und das SEM wird sich damit zu befassen haben. Die Beschwerdeakten sind zur Durchsicht dem SEM zu überweisen, mit der Bitte um anschliessende rasche Retournierung an das Gericht.</w:t>
      </w:r>
    </w:p>
    <w:p>
      <w:r>
        <w:rPr>
          <w:b/>
        </w:rPr>
        <w:t>E. 8</w:t>
      </w:r>
    </w:p>
    <w:p>
      <w:r>
        <w:t>Nach dem Gesagten ist die Beschwerde gutzuheissen, soweit die Aufhebung der vorinstanzlichen Verfügung beantragt wird. Das Verfahren ist zur Abklärung des vollständigen rechtserheblichen Sachverhalts und zur Neubeurteilung der Sache an das SEM zurückzuweisen. Mit Aufhebung der angefochtenen Verfügung wird auch Ziff. 6 des Verfügungsdispositivs betreffend Auferlegung einer Gebühr für das vorinstanzliche Verfahren aufgehoben. Im wiederaufzunehmenden vorinstanzlichen Verfahren wird das SEM über das Gesuch des Beschwerdeführers um Gewährung der unentgeltlichen Rechtspflege zu befinden haben.</w:t>
      </w:r>
    </w:p>
    <w:p>
      <w:r>
        <w:rPr>
          <w:b/>
        </w:rPr>
        <w:t>E. 9</w:t>
      </w:r>
    </w:p>
    <w:p>
      <w:r>
        <w:t>Bei diesem Ausgang des Beschwerdeverfahrens sind keine Verfahrenskosten aufzuerlegen (Art. 63 Abs. 1 und 2 VwVG). Das Gesuch um Gewährung der unentgeltlichen Prozessführung gemäss Art. 65 Abs. 1 VwVG ist demnach gegenstandslos.</w:t>
      </w:r>
    </w:p>
    <w:p>
      <w:r>
        <w:rPr>
          <w:b/>
        </w:rPr>
        <w:t>E. 10</w:t>
      </w:r>
    </w:p>
    <w:p>
      <w:r>
        <w:t>Dem vertretenen Beschwerdeführer ist angesichts seines Obsiegens in Anwendung von Art. 64 VwVG und Art. 7 Abs. 1 des Reglements vom21. Februar 2008 über die Kosten und Entschädigungen vor dem Bundesverwaltungsgericht (VGKE, SR 173.320.2) eine Entschädigung für die ihm notwendigerweise erwachsenen Parteikosten zuzusprechen. Auch das Gesuch um unentgeltliche Rechtsverbeiständung (Art. 65 Abs. 2 VwVG; vgl. aArt. 110a Abs. 2 AsylG) ist somit gegenstandslos. Es wurde keine Kostennote eingereicht, weshalb die notwendigen Parteikosten aufgrund der Akten zu bestimmen sind (Art. 14 Abs. 2 in fine VGKE). Das Gericht geht für das Beschwerdeverfahren (Einreichung einer 9-seitigen Beschwerdeschrift, die inhaltlich teilweise die Ausführungen des Gesuchs vom 16. April 2019 an das SEM wieder aufgreift) von einem Arbeitsaufwand des Rechtsvertreters von vier Stunden aus und legt der Berechnung einen Stundenansatz von Fr. 220.- zugrunde. Gestützt auf die in Betracht zu ziehenden Bemessungsfaktoren (Art. 9-13 VGKE) ist dem Beschwerdeführer zulasten der Vorinstanz eine Parteientschädigung von insgesamt Fr. 955.-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