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E-3823/2023 vom 12. Juli 2023</w:t>
      </w:r>
    </w:p>
    <w:p>
      <w:r>
        <w:t>Bundesverwaltungsgericht, 2023-07-12, DE</w:t>
      </w:r>
    </w:p>
    <w:p>
      <w:r>
        <w:rPr>
          <w:b/>
        </w:rPr>
        <w:t xml:space="preserve">Quelle: </w:t>
      </w:r>
      <w:r>
        <w:t>https://mcp.opencaselaw.ch/entscheid/bvger_E-3823_2023</w:t>
      </w:r>
    </w:p>
    <w:p>
      <w:r>
        <w:t>FR: TAF E-3823/2023 du 12 juillet 2023</w:t>
      </w:r>
    </w:p>
    <w:p>
      <w:r>
        <w:t>IT: TAF E-3823/2023 del 12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frist- und formgerecht eingereichten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 Jeder Asylantrag wird von einem einzigen Mitgliedstaat geprüft, der nach den Kriterien des Kapitels III als zuständiger Staat bestimmt wird (Art. 3 Abs. 1 Dublin-III-VO). Bei einem Aufnahmeverfahren sind die in Kapitel III (Art. 8-15 Dublin-III-VO) genannten Kriterien in der dort aufgeführten Rangfolge (Prinzip der Hierarchie der Zuständigkeitskriterien; vgl. Art. 7 Abs. 1 Dublin-III-VO) anzuwenden.</w:t>
      </w:r>
    </w:p>
    <w:p>
      <w:r>
        <w:rPr>
          <w:b/>
        </w:rPr>
        <w:t>E. 4.2</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4.3</w:t>
      </w:r>
    </w:p>
    <w:p>
      <w:r>
        <w:t>Das SEM hat zu Recht die grundsätzliche Zuständigkeit Spaniens für das weitere Verfahren festgestellt (vgl. oben, Sachverhalt Bstn. A und E), was vom Beschwerdeführer nicht bestritten wurde. Sein Hinweis, er wolle nicht nach Spanien zurück, da er sich in der Schweiz wohler fühle (u.a. SEM-Akte A1257366-9/2 [nachfolgend Akte A9]), ändert daran nichts. Die Dublin-III-VO räumt den Schutzsuchenden im Übrigen kein Recht ein, den ihren Antrag prüfenden Staat auszuwählen (vgl. BVGE 2010/45 E. 8.3).</w:t>
      </w:r>
    </w:p>
    <w:p>
      <w:r>
        <w:rPr>
          <w:b/>
        </w:rPr>
        <w:t>E. 5.1</w:t>
      </w:r>
    </w:p>
    <w:p>
      <w:r>
        <w:t>Weiter sind vorliegend keine Gründe für die Annahme ersichtlich (respektive wurde solches vom Beschwerdeführer nicht geltend gemacht), dass das Asylverfahren und die Aufnahmebedingungen für Antragsteller in Spanien systemische Schwachstellen aufweisen, die eine Gefahr einer unmenschlichen oder entwürdigenden Behandlung im Sinne von Artikel 4 der EU-Grundrechtecharta mit sich bringen würden. Die Anwendung von Art. 3 Abs. 2 Dublin-III-VO ist daher nicht gerechtfertigt (vgl. statt vieler Urteil des BVGer E-3089/2023 vom 6. Juni 2023 E. 6.1).</w:t>
      </w:r>
    </w:p>
    <w:p>
      <w:r>
        <w:rPr>
          <w:b/>
        </w:rPr>
        <w:t>E. 5.2</w:t>
      </w:r>
    </w:p>
    <w:p>
      <w:r>
        <w:t>Spanien kommt seinen völkerrechtlichen Verpflichtungen nach (gemäss EMRK, Übereinkommen vom 10. Dezember 1984 gegen Folter und andere grausame, unmenschliche oder erniedrigende Behandlung oder Strafe [FoK, SR 0.105], Abkommen vom 28. Juli 1951 über die Rechtsstellung der Flüchtlinge [FK, SR 0.142.30] sowie Zusatzprotokoll der FK vom 31. Januar 1967 [SR 0.142.301]). Sodann ist anzunehmen, Spanien anerkenne und schütze die Rechte der Schutzsuchenden (vgl. a.a.O. E. 6.2). Es ist auf die zutreffenden Ausführungen in der angefochtenen Verfügung (S. 3 f.) zu verweisen. Der Hinweis des Beschwerdeführers, in Spanien gebe es keine Arbeit (SEM-Akte A9 S. 1), vermag zu keiner anderen Einschätzung zu führen. Er macht nicht geltend, die spanischen Behörden würden sich weigern, ihn aufzunehmen und seinen Antrag auf internationalen Schutz unter Einhaltung der Regeln der Verfahrensrichtlinie zu prüfen beziehungsweise ihm dauerhaft die ihm gemäss Aufnahmerichtlinie zustehenden minimalen Lebensbedingungen vorenthalten. Bei Bedarf um Unterstützung, namentlich bei der Arbeitssuche, kann er sich an die zuständigen Behörden wenden. Es sind auch keine Gründe für die Annahme ersichtlich,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5.3</w:t>
      </w:r>
    </w:p>
    <w:p>
      <w:r>
        <w:t>Sodann hat die Vorinstanz die aktenkundigen gesundheitlichen Probleme des Beschwerdeführers (SEM-Akten A9 S. 2, A17) erfasst und zu Recht geschlossen, der medizinische Sachverhalt sei ausreichend erstellt, um die Zulässigkeit einer Wegweisung nach Spanien beurteilen zu können. Die gesundheitliche Situation des Beschwerdeführers ist nicht derart gravierend, dass gestützt auf Art. 3 EMRK von einer Überstellung nach Spanien abgesehen werden müsste. Wie den Akten zu entnehmen ist, wurde er im Übrigen bereits in Spanien ärztlich behandelt (SEM-Akte A17 S. 3) - ein Land, welches ohne Zweifel über eine ausreichende medizinische Infrastruktur verfügt (vgl. u.a. Urteil des BVGer E-517/2023 vom 3. Februar 2023).</w:t>
      </w:r>
    </w:p>
    <w:p>
      <w:r>
        <w:rPr>
          <w:b/>
        </w:rPr>
        <w:t>E. 5.4</w:t>
      </w:r>
    </w:p>
    <w:p>
      <w:r>
        <w:t>Nach dem Gesagten hat die Vorinstanz das Selbsteintrittsrecht von Art. 17 Dublin-III-VO sowie Art. 29a Abs. 3 der Asylverordnung 1 vom 11. August 1999 (AsylV 1, SR 142.311) zu Recht nicht ausgeübt. Weder ist die Schweiz völkerrechtlich verpflichtet, auf das Asylgesuch einzutreten, noch liegen humanitäre Gründe vor, welche einen Selbsteintritt nahelegen würden.</w:t>
      </w:r>
    </w:p>
    <w:p>
      <w:r>
        <w:rPr>
          <w:b/>
        </w:rPr>
        <w:t>E. 6</w:t>
      </w:r>
    </w:p>
    <w:p>
      <w:r>
        <w:t>Die Vorinstanz ist demnach zu Recht nicht auf das Asylgesuch des Beschwerdeführers eingetreten und hat seine Wegweisung nach Spanien angeordnet.</w:t>
      </w:r>
    </w:p>
    <w:p>
      <w:r>
        <w:rPr>
          <w:b/>
        </w:rPr>
        <w:t>E. 7</w:t>
      </w:r>
    </w:p>
    <w:p>
      <w:r>
        <w:t>Nach dem Gesagten ist die Beschwerde abzuweisen und die Verfügung des SEM zu bestätigen. Das Beschwerdeverfahren ist mit vorliegendem Urteil abgeschlossen, weshalb sich die Anträge auf Gewährung der aufschiebenden Wirkung sowie auf Verzicht auf die Erhebung eines Kostenvorschusses als gegenstandslos erweisen. Der angeordnete Vollzugsstopp fällt mir vorliegendem Urteil dahin.</w:t>
      </w:r>
    </w:p>
    <w:p>
      <w:r>
        <w:rPr>
          <w:b/>
        </w:rPr>
        <w:t>E. 8</w:t>
      </w:r>
    </w:p>
    <w:p>
      <w:r>
        <w:t>Das Gesuch um Gewährung der unentgeltlichen Rechtspflege ist ungeachtet der geltend gemachten Mittellosigkeit abzuweisen, da die Begehren - wie sich aus den vorstehenden Erwägungen ergibt - als aussichtslos zu bezeichnen waren. Die Voraussetzungen von Art. 65 Abs. 1 VwVG sind nicht erfüllt. Die Kosten in der Höhe von Fr. 750.- sind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