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E-3822/2018 vom 12. Juli 2018</w:t>
      </w:r>
    </w:p>
    <w:p>
      <w:r>
        <w:t>Bundesverwaltungsgericht, 2018-07-12, DE</w:t>
      </w:r>
    </w:p>
    <w:p>
      <w:r>
        <w:rPr>
          <w:b/>
        </w:rPr>
        <w:t xml:space="preserve">Quelle: </w:t>
      </w:r>
      <w:r>
        <w:t>https://mcp.opencaselaw.ch/entscheid/bvger_E-3822_2018</w:t>
      </w:r>
    </w:p>
    <w:p>
      <w:r>
        <w:t>FR: TAF E-3822/2018 du 12 juillet 2018</w:t>
      </w:r>
    </w:p>
    <w:p>
      <w:r>
        <w:t>IT: TAF E-3822/2018 del 12 luglio 2018</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und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weil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E-1360/2018.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Rahmen der Begründung zum Sistierungsantrag bringt der Rechtsvertreter vor, mit dem vorliegenden Revisionsgesuch würden weitere Revisionsgesuche mit gleichartiger Begründung eingereicht, wobei es in all diesen Verfahren um die Fragestellung gehe, ob angesichts der nichtzulässigen Doppelbesetzung durch zwei oder drei SVP-Richter eine Revision wegen fehlerhafter Besetzung des Gerichts vorzunehmen sei. Das durch das vorliegende Revisionsgesuch angefochtene Urteil des Bundesverwaltungsgerichts vom 21. Juni 2018 sei durch Einzelrichter William Waeber mit Zustimmung von Richterin Daniela Brüschweiler ausgefällt worden und als Gerichtsschreiber habe Arthur Brunner geamtet. Gerichtsschreiber Arthur Brunner habe sich nach Kenntnis des Rechtsvertreters im Verlaufe des Monats April 2018 vertieft mit der gesamten Materie der Spruchkörperbildung im Rahmen der vom Bundesverwaltungsgericht erstellten Stellungnahme zum Verfahren vor Bundesgericht 12T_3/2018 beschäftigt und habe somit vertiefte Kenntnis davon, dass die Vermeidung der einseitigen politischen Zusammensetzung der Richterbank eines der objektiven Kriterien sei, welches bei der Auswahl des Spruchkörpers zwingend zu berücksichtigen sei. Es erstaune, dass er trotz Auseinandersetzung mit dieser Materie danach Urteile verfasst habe, in denen entweder zwei oder gar drei Richter der SVP vertreten gewesen seien. Als Kenner der Materie und durch die gezielte Redigierung solcher Urteile ergebe sich klar die sehr bewusste, das heisse vorsätzliche Förderung einer fehlerhaft besetzten Gerichtsbehörde durch den Gerichtsschreiber. Er wäre zwingend verpflichtet gewesen, die Richter auf die fehlerhafte Besetzung aufmerksam zu machen, nichts Derartiges sei geschehen. Ein Gerichtsschreiber des Bundesverwaltungsgerichts, welcher nun trotz seiner Spezialisierung auf eine Thematik gezielt die entsprechenden Bestimmungen verletze, sei objektiv voreingenommen. Ein Gerichtsschreiber des Bundesverwaltungsgerichts habe beim heutigen System der "Gerichtsschreiberjustiz" am Bundesverwaltungsgericht faktisch einen enormen Einfluss auf die Entscheidfindung. Da er sich bewusst über zwingende Vorschriften hinweggesetzt und trotz seines Wissens nichts dagegen unternommen habe, erscheine er nicht nur befangen, sondern sei objektiv befangen, weshalb bei ihm bei jedem durch ihn redigierten Urteil mit einer voreingenommenen Sichtweise und weiterer Willkür zu rechnen sei. Nachdem Gerichtsschreiber Arthur Brunner auch im vorliegenden Urteil vom 21. Juni 2018 als Gerichtsschreiber tätig gewesen sei, habe somit eine Gerichtsperson an diesem Urteil in Zentralstellung mitgewirkt, welche als befangen anzusehen sei.</w:t>
      </w:r>
    </w:p>
    <w:p>
      <w:r>
        <w:rPr>
          <w:b/>
        </w:rPr>
        <w:t>E. 6.1</w:t>
      </w:r>
    </w:p>
    <w:p>
      <w:r>
        <w:t>Die Argumentation des Rechtsvertreters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kann auch nicht aus dem Entscheid des Bundesgerichts 12T_3/2018 vom 22. Mai 2018 abgeleitet werden,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So konstruierte er - unmittelbar nachdem der Aufsichtsanzeige beim Bundesgericht, gemäss welcher das Bundesverwaltungsgericht schwerwiegende unstatthafte Manipulationen bei der Spruchkörperbildung begangen habe, keine Folge geleistet wurde -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um vorsorgliche Massnahmen, mithin auf Aussetzung des Wegweisungsvollzugs wird mit Erlass dieses Entscheids gegenstandslos. Für die beantragte Sistierung des vorliegenden Verfahrens bestand und besteht keine Veranlassung.</w:t>
      </w:r>
    </w:p>
    <w:p>
      <w:r>
        <w:rPr>
          <w:b/>
        </w:rPr>
        <w:t>E. 8.1</w:t>
      </w:r>
    </w:p>
    <w:p>
      <w:r>
        <w:t>Das Gesuch um Gewährung der unentgeltlichen Prozessführung ist wegen Aussichtslosigkeit abzuweisen. Das Gesuch um Erlass der Erhebung eines Kostenvorschusses ist mit vorliegendem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