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E-3819/2015 vom 2. Juli 2015</w:t>
      </w:r>
    </w:p>
    <w:p>
      <w:r>
        <w:t>Bundesverwaltungsgericht, 2015-07-02, DE</w:t>
      </w:r>
    </w:p>
    <w:p>
      <w:r>
        <w:rPr>
          <w:b/>
        </w:rPr>
        <w:t xml:space="preserve">Quelle: </w:t>
      </w:r>
      <w:r>
        <w:t>https://mcp.opencaselaw.ch/entscheid/bvger_E-3819_2015</w:t>
      </w:r>
    </w:p>
    <w:p>
      <w:r>
        <w:t>FR: TAF E-3819/2015 du 2 juillet 2015</w:t>
      </w:r>
    </w:p>
    <w:p>
      <w:r>
        <w:t>IT: TAF E-3819/2015 del 2 luglio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 Aufgrund der Zuweisung des Beschwerdeführers in die Testphase des Verfahrenszentrums in Zürich kommt die Testphasenverordnung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BVGE 2011/51 E. 6.2).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2012/21 E. 5; BVGE 2009/50 E. 10.2; BVGE 2008/24 E. 7.2; BVGE 2007/21 E. 11.1.3).</w:t>
      </w:r>
    </w:p>
    <w:p>
      <w:r>
        <w:rPr>
          <w:b/>
        </w:rPr>
        <w:t>E. 6</w:t>
      </w:r>
    </w:p>
    <w:p>
      <w:r>
        <w:t>Nach Durchsicht der Akten und insbesondere vor dem Hintergrund der auf Beschwerdeebene ins Recht gelegten Schnellrecherche der Schweizerischen Flüchtlingshilfe (SFH) vom 2. Juni 2015 kommt das Bundesverwaltungsgericht zum Schluss, dass das SEM nur ungenügend abgeklärt hat, inwiefern der Beschwerdeführer bei einer Rückkehr nach China eine begründete Furcht hat, wegen seiner vorgetragenen Zugehörigkeit zu den Quannengshen asylrelevanten Nachteilen ausgesetzt zu werden. Zwar trifft es zu, dass der Beschwerdeführer - seinen eigenen Angaben zufolge - vor seiner Ausreise aus China nicht in asylrechtlich relevanter Weise verfolgt wurde, weshalb er wohl auch legal aus seinem Heimtatstaat ausreisen konnte. Daraus ohne weiteres darauf zu schliessen, dass er auch bei einer Rückkehr nach China mit überwiegender Wahrscheinlichkeit nicht in asylrelevanter Weise gefährdet wäre, greift indes zu kurz. So scheint es mit Blick auf die Ergebnisse der Schnellrecherche der SFH vom 2. Juni 2015 nicht ausgeschlossen, dass die Quannengshen in China asylrelevanter Verfolgung ausgesetzt sind. Eine entsprechende Auseinandersetzung mit der Situation christlicher Glaubensgemeinschaften in China - nicht gerade ein alltägliches Asylvorbringen, wie auch die Vorin-stanz nicht zu verkennen scheint (vgl. A15/2) - fehlt in der angefochtenen Verfügung des SEM indes gänzlich. Müsste eine asylrelevante Verfolgung der Quannengshen - unter Beizug weiterer Quellen - bejaht werden, hätte wohl auch der Beschwerdeführer bei einer Rückkehr nach China eine begründete Furcht im Sinne von Art. 3 AsylG, es sei denn, sein Vorbringen, dieser Glaubensgemeinschaft anzugehören, würde ihm nicht geglaubt. Die aktuelle Aktenlage erlaubt einen solchen Schluss der Unglaubhaftigkeit der Vorbringen des Beschwerdeführers indes nicht. Vielmehr wären dazu weitere Abklärungen, welche auf die Verifizierung der tatsächlichen Zugehörigkeit des Beschwerdeführers zur behaupteten Glaubensgemeinschaft abzielen, notwendig.</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Im vorliegenden Fall ist es angezeigt, die Sache ans SEM als erste Instanz zurückzuweisen, damit dieses die erforderlichen Abklärungen vornimmt und deren Ergebnis im Rahmen eines neuen Entscheides festhält, da sich die Entscheidungsreife in der vorliegenden Sache nicht mit geringem Aufwand herstellen lässt. Im Übrigen bleibt auf diese Weise der Instanzenzug erhalten, was umso wichtiger erscheint, als das Bundesverwaltungsgericht letztinstanzlich entscheidet und - seit der am 1. Februar 2014 in Kraft getretenen Asylgesetzrevision - die Unangemessenheit einer angefochtenen Verfügung bezüglich Asyl und Flüchtlingseigenschaft nicht mehr überprüfen kann. Ziel der noch vorzunehmenden Abklärungen ist, gestützt auf einschlägige Länderinformationen zu prüfen, ob ein Mitglied der Quannengshen in China begründete Furcht vor asylrelevanter Verfolgung hat und - wenn dies bejaht würde - mit geeigneten Methoden zu untersuchen, ob es glaubhaft erscheint, dass der Beschwerdeführer Anhänger dieser Glaubensgemeinschaft ist. Allenfalls wäre zudem abzuklären, ob der Beschwerdeführer bei einer Rückkehr nach China ins Visier der heimatlichen Behörden geraten würde, weil sein Schengenvisum bereits am 8. Mai 2015 abgelaufen ist (vgl. A12/3) und er hierzulande wegen der behaupteten Zugehörigkeit zu den Quannengshen ein Asylgesuch eingereicht hat.</w:t>
      </w:r>
    </w:p>
    <w:p>
      <w:r>
        <w:rPr>
          <w:b/>
        </w:rPr>
        <w:t>E. 7.3</w:t>
      </w:r>
    </w:p>
    <w:p>
      <w:r>
        <w:t>Vor dem Hintergrund des Gesagten, kann mithin offen bleiben, ob sich die auf Beschwerdeebene kritisierte Mandatsführung durch die in der Testphase zugewiesene Rechtsvertretung tatsächlich in rechtlich relevanter Weise negativ auf den Verfahrensausgang ausgewirkt hat. Nichtsdestotrotz sei darauf hingewiesen, dass es ungünstig erscheint, wenn die Rechtsvertretung in den wesentlichen Verfahrensschritten der Testphase (insbesondere Befragungen und Stellungnahme zum Entscheidentwurf) von verschiedenen Personen ausgeübt wird. Ferner ist die Stellungnahme der Rechtsvertretung zum Entscheidentwurf tatsächlich dürftig ausgefallen und geht inhaltlich an der Sache vorbei, weshalb die auf Beschwerdeebene geäusserte Kritik, die Rechtsvertretung habe nicht versucht, ernsthaft im Interesse des Mandanten Einfluss auf den zu erwartenden Entscheid zu nehmen, nicht ohne Weiteres von der Hand gewiesen werden kann. Eine Verpflichtung zur Begründung der Mandatsniederlegung durch die zugewiesene Rechtsvertretung, lässt sich indes dem Gesetz nicht entnehmen (vgl. Art. 25 Abs. 4 TestV). Zwar ist nicht ausgeschlossen, dass eine Mandatsniederlegung nach dem Ergehen des erstinstanzlichen Entscheids aber vor der Erhebung einer Beschwerde angesichts der kurzen Beschwerdefrist im Testphasenverfahren je nach Konstellation problematisch sein kann. Ob deren Begründung aber die richtige Massnahme ist, ist fraglich. In jedem Fall erscheint es aber erforderlich, dass die Mitteilung bezüglich der Mandatsniederlegung so früh wie möglich erfolgt, wovon im vorliegenden Fall ausgegangen werden kann (vgl. A26/1).</w:t>
      </w:r>
    </w:p>
    <w:p>
      <w:r>
        <w:rPr>
          <w:b/>
        </w:rPr>
        <w:t>E. 8</w:t>
      </w:r>
    </w:p>
    <w:p>
      <w:r>
        <w:t>Nach dem Gesagten ist die Beschwerde gutzuheissen, soweit die Aufhebung der angefochtenen Verfügung beantragt wird. Die Verfügung vom 9. Juni 2015 ist aufzuheben und die Sache in Anwendung von Art. 61 Abs. 1 in fine VwVG zur vollständigen und richtigen Sachverhaltsermittlung und Neubeurteilung im Sinne der Erwägungen ans SEM zurückzuweisen.</w:t>
      </w:r>
    </w:p>
    <w:p>
      <w:r>
        <w:rPr>
          <w:b/>
        </w:rPr>
        <w:t>E. 9</w:t>
      </w:r>
    </w:p>
    <w:p>
      <w:r>
        <w:t>Bei diesem Ausgang des Verfahrens sind keine Verfahrenskosten zu erheben (Art. 63 Abs. 1 und 2 VwVG). 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Seitens der Rechtsvertretung wurde eine Kostennote eingereicht in der Höhe von total Fr. 1'340.-, wobei der ausgewiesene Aufwand als nicht vollumfänglich notwendig zu beurteilen ist. Unter Berücksichtigung der massgeblichen Be­messungsfaktoren (vgl. Art. 8 ff. VGKE) ist das BFM anzuweisen, dem Beschwerdeführer eine Parteientschädigung in der Höhe von total Fr. 1'000.-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