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E-3814/2019 vom 9. August 2019</w:t>
      </w:r>
    </w:p>
    <w:p>
      <w:r>
        <w:t>Bundesverwaltungsgericht, 2019-08-09, DE</w:t>
      </w:r>
    </w:p>
    <w:p>
      <w:r>
        <w:rPr>
          <w:b/>
        </w:rPr>
        <w:t xml:space="preserve">Quelle: </w:t>
      </w:r>
      <w:r>
        <w:t>https://mcp.opencaselaw.ch/entscheid/bvger_E-3814_2019</w:t>
      </w:r>
    </w:p>
    <w:p>
      <w:r>
        <w:t>FR: TAF E-3814/2019 du 9 août 2019</w:t>
      </w:r>
    </w:p>
    <w:p>
      <w:r>
        <w:t>IT: TAF E-3814/2019 del 9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Personen, die wegen Wehrdienstverweigerung oder Desertion ernsthaften Nachteilen ausgesetzt sind oder begründete Furcht haben, solchen Nachteilen ausgesetzt zu werden, sind keine Flüchtlinge,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ablehnende Verfügung im Wesentlichen mit der fehlenden Asylrelevanz der Vorbringen. Bei der HDP handle es sich um eine legale Partei. Es sei zwar nicht auszuschliessen, dass es zu Festnahmen und Folterungen im Zusammenhang mit Tätigkeiten für die HDP komme. Seine vorgebrachten Tätigkeiten für die HDP und das daraus resultierende Interesse der Behörden am Beschwerdeführer genügten indes nicht, um begründete Furcht vor einer zukünftigen asylrelevanten Verfolgung anzunehmen. Er sei in keiner exponierten Stellung für die HDP tätig gewesen. Es bestehe deswegen keine beachtliche Wahrscheinlichkeit, dass sich seine Befürchtung, wie viele Präsidenten und Abgeordnete der HDP inhaftiert zu werden, verwirklichen werde. Des Weiteren habe er verschiedene Behelligungen, die im Zusammenhang mit seiner kurdischen Ethnie gestanden seien, geltend gemacht. Er sei während seiner Zeit am Gymnasium neben den Mitnahmen auf den Polizeiposten auch von Anhängern der MHP geschlagen und von der Schulleitung immer wieder zitiert worden. In F._______ habe er einmal Schwierigkeiten in einem Krankenhaus gehabt und sei in einem Bus angegriffen worden. Es sei allgemein bekannt, dass Angehörige der kurdischen Bevölkerung immer wieder Schikanen und Benachteiligungen verschiedenster Art ausgesetzt sein könnten. Dabei handle es sich jedoch nicht um ernsthafte Nachteile im Sinne des Asylgesetzes, welche einen Verbleib im Heimatstaat verunmöglichen oder unzumutbar erschweren würden. Die allgemeine Situation, in der sich die kurdische Bevölkerung befinde, führe für sich alleine nicht zur Anerkennung der Flüchtlingseigenschaft. Ausserdem habe sich im Zuge der verschiedenen Reformen in der Türkei seit 2001 die Situation der Kurden merklich verbessert. Die vom Beschwerdeführer geltend gemachten Ereignisse seien in ihrer Intensität nicht über die Nachteile hinausgegangen, welche weite Teile der kurdischen Bevölkerung in ähnlicher Weise treffen könnten. Ausserdem habe sich der letzte Vorfall bereits ein Jahr vor seiner Ausreise aus der Türkei abgespielt. Die geltend gemachten Benachteiligungen seien demnach asylrechtlich unerheblich. Hinsichtlich seines Vorbringens, er werde in der Türkei als Dienstverweigerer betrachtet, wies das SEM darauf hin, dass Personen, welche als Wehrdienstverweigerer ernsthaften Nachteilen ausgesetzt seien oder begründete Furcht haben, solchen Nachteilen ausgesetzt zu werden, keine Flüchtlinge seien. Eine asylrelevante Verfolgungsmotivation liege somit im Sinne des Art. 3 Abs. 3 AsylG nicht vor, wenn staatliche Massnahmen der Durchsetzung staatsbürgerlicher Pflichten dienen. Vorbehalten bleibe die Einhaltung der FK. Falls tatsächlich ein Haftbefehl gegen ihn ergangen sei, würde dieser legitimen Interessen der türkischen Justizbehörden dienen und somit keine Asylrelevanz entfalten. Seine Vorbringen würden somit den Anforderungen an die Flüchtlingseigenschaft gemäss Art. 3 AsylG nicht standhalten. Es erübrige sich, die Glaubhaftigkeit der Vorbringen zu prüfen. Es sei jedoch festzuhalten, dass seine Aussagen insgesamt äusserst vage gewesen seien und er nicht in der Lage gewesen sei, konkrete Daten und teilweise auch Jahreszahlen zu nennen. Auch habe er nicht schlüssig darlegen können, was seine persönlichen Gründe für den Weggang aus dem Dorf D._______ gewesen seien. Insgesamt erfülle er die Flüchtlingseigenschaft nicht und sein Asylgesuch sei abzulehnen. In der Stellungnahme zum Entscheidentwurf seien überdies keine Tatsachen oder Beweismittel vorgelegt worden, welche eine Änderung des Standpunktes des SEM rechtfertigen könnten.</w:t>
      </w:r>
    </w:p>
    <w:p>
      <w:r>
        <w:rPr>
          <w:b/>
        </w:rPr>
        <w:t>E. 4.2</w:t>
      </w:r>
    </w:p>
    <w:p>
      <w:r>
        <w:t>In der Beschwerde wird moniert, das SEM habe den Sachverhalt nicht korrekt gewürdigt. Die geltend gemachten Schikanen, Belästigungen und Misshandlungen seien genügend schwer, um eine Verletzung von Art. 3 EMRK und Art. 3 des Übereinkommens vom 10. Dezember 1984 gegen Folter und andere grausame, unmenschliche oder erniedrigende Behandlung oder Strafe (FoK, SR 0.105) anzunehmen. Weiter seien die erlittenen Misshandlungen und Benachteiligungen in ihrer Intensität genügend schwer, um als ernsthafter Nachteil im Sinne des Asylgesetzes zu gelten. Ausserdem sei der Beschwerdeführer zum Zeitpunkt, in dem er die Benachteiligungen erlitten habe, zwischen (...) und (...) Jahre alt gewesen. Seinem jungen Alter müsse bei der Beurteilung der Intensität und Asylrelevanz der erlittenen Nachteile Rechnung getragen werden. Zudem habe sich die Menschenrechtslage in der Türkei seit den Parlamentswahlen im Juni 2015 und dem Gewaltausbruch zwischen der PKK (Partiya Karkeren Kurdistan) und dem türkischen Staat markant verschlechtert. Zahlreiche Mitglieder der HDP seien verhaftet worden. Somit habe er zum Zeitpunkt seiner Ausreise begründete Furcht gehabt, Opfer von weiteren ernsthaften Nachteilen zu werden, weshalb er die Flüchtlingseigenschaft erfülle und ihm Asyl zu gewähren sei. Hinzukommend gelte der Beschwerdeführer in der Türkei als Refraktär. Deswegen würde er bei einer Rückkehr in die Türkei verhaftet und dem zuständigen Militärbüro zugeführt werden. Entweder würde ihm eine Geldbusse auferlegt oder er würde seiner militärischen Einheit zugeführt. In letzterem Fall würden ihm schwerste Übergriffe und Misshandlungen drohen, die zu einer Verletzung von Art. 3 EMRK führen würden, da er von den Vorgesetzten und anderen Soldaten als Staatsfeind betrachtet würde. Seit dem Jahr 2015 verfolge die türkische Regierung einen verstärkt nationalistischen Kurs, weshalb davon auszugehen sei, dass der Beschwerdeführer nicht fair oder gleich wie andere Refraktäre behandelt würde. Zudem lehne der Beschwerdeführer aufgrund seiner Ethnie und seiner persönlichen Erlebnisse den türkischen Militärdienst ab. Die geltend gemachte Furcht vor Verfolgung wegen Wehrdienstverweigerung begründe somit seien Flüchtlingseigenschaft und ihm sei Asyl zu gewähren.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5.3</w:t>
      </w:r>
    </w:p>
    <w:p>
      <w:r>
        <w:t>Unter Beachtung obenstehender Grundsätze hinsichtlich des Flüchtlingsbegriffs und nach Prüfung der Akten kommt das Bundesverwaltungsgericht zum Schluss, dass die Vorinstanz bezüglich den geltend gemachten Problemen mit den türkischen Behörden zu Recht zum Schluss kam, dass diese die Flüchtlingseigenschaft des Beschwerdeführers nicht zu begründen vermögen. Gemäss den Aussagen des Beschwerdeführers habe er sich seit dem Jahr 2015 nicht mehr für die HDP engagiert und sei seither auch keinen Behelligungen durch die türkischen Behörden mehr ausgesetzt gewesen (A34, F93-F96, F114). Nach der letzten Mitnahme auf einen Polizeiposten hat er sich noch mindestens zwei Jahre in der Türkei aufgehalten, ohne weitere Benachteiligen durch Polizeiorgane erlitten zu haben. Die geltend gemachten Benachteiligungen durch den türkischen Staat zwischen 2013 und 2015 stehen somit in keinem zeitlichen Kausalzusammenhang mit seiner Ausreise im Oktober 2017. Ausserdem waren seine Tätigkeiten für die HDP geringfügig und er hat sich in seinen politischen Aktivitäten nicht exponiert. Er habe hauptsächlich Wahlzettel verteilt und sich an Newruz-Feierlichkeiten beteiligt (A34, F66, F110-113). Es gab diesbezüglich keine Anzeigen oder Strafverfahren gegen ihn (A34, F93). Deshalb kann davon ausgegangen werden, dass die Behörden seit Beendigung seiner Aktivitäten für die HDP und der letzten Mitnahme auf den Polizeiposten im Jahr 2015 kein Interesse am Beschwerdeführer mehr gehabt haben. Es ist zwar festzustellen, dass die Vorinstanz den Beschwerdeführer über die Mitnahmen auf den Polizeiposten nicht ausführlich befragt hat. Aus den Akten wird nicht ersichtlich, was sich auf dem Posten jeweils abgespielt hat und in welchem Zusammenhang sich diese Mitnahmen ereignet haben. In der Beschwerde wird diesbezüglich indes nichts Ergänzendes vorgebracht, weshalb davon ausgegangen werden kann, dass der Sachverhalt zwar Unklarheiten aufweist, jedoch für die Beurteilung des Asylgesuches hinlänglich erstellt wurde. Zum Zeitpunkt seiner Ausreise lag keine flüchtlingsrechtlich relevante Verfolgungssituation vor und es bestand auch kein konkreter Anlass zur Annahme, dass sich eine Verfolgung in naher Zukunft verwirklichen könnte. Somit können die genauen Umstände der einige Jahre zurückliegenden Mitnahmen von 2013 bis 2015 letztlich offen bleiben, insbesondere da aus den Akten hervor geht, dass es sich bloss um kurzfristige Mitnahmen auf den Polizeiposten handelte, ohne dass diese weitere Konsequenzen für den Beschwerdeführer gehabt hätten. Da er sich die letzten zwei Jahre vor seiner Ausreise nicht mehr für die HDP engagiert hat, und seine Tätigkeiten für diese nur geringfügig waren, ist nicht davon auszugehen, dass er für die Behörden ein bedrohliches politisches Profil aufweist. Er konnte sich vor seiner Ausreise einige Jahre unbehelligt in der Türkei aufhalten, weshalb seine Furcht, aufgrund seines (politischen) Profils bei einer Rückkehr weiteren Benachteiligungen ausgesetzt zu sein, objektiv nicht begründet erscheint. Seine politischen Tätigkeiten und die daraus resultierenden Probleme zwischen 2013 und 2015 mit den türkischen Behörden vermögen somit die Asylrelevanz nicht zu begründen.</w:t>
      </w:r>
    </w:p>
    <w:p>
      <w:r>
        <w:rPr>
          <w:b/>
        </w:rPr>
        <w:t>E. 5.4</w:t>
      </w:r>
    </w:p>
    <w:p>
      <w:r>
        <w:t>Hinsichtlich der geltend gemachten Probleme mit Drittpersonen aufgrund seiner kurdischen Ethnie ist festzustellen, dass auch diese nicht flüchtlingsrechtlich relevant im Sinne des Art. 3 AsylG sind. Der Beschwerdeführer gab an, dass der letzte Angriff, welcher im Zusammenhang mit seiner kurdischen Herkunft gestanden sei, sich in einem Bus in F._______ ereignet habe. Danach sei er noch etwa ein Jahr in der Türkei geblieben (A34, F73-F75). In diesem Jahr habe er keine weiteren Benachteiligungen erlitten. Die geltend gemachten Behelligungen können somit nicht als unmittelbarer Anlass für die Ausreise angesehen werden und stehen in keinem zeitlich genügend engen Kausalzusammenhang zur Ausreise. Zum Zeitpunkt der Ausreise bestand somit keine Verfolgungssituation durch Drittpersonen und es liegen keine konkreten Indizien vor, wonach ihm mit beachtlicher Wahrscheinlichkeit eine solche in naher Zukunft gedroht hätte. Die geltend gemachten Benachteiligungen und Schikanen, welche dem Beschwerdeführer durch Privatpersonen zugeführt wurden, waren zudem nicht derart gravierend, als dass sie einen erheblichen Nachteil im Sinne des Asylgesetzes darstellen würden, und ihm ein Verbleib in seinem Heimatstaat unzumutbar gewesen wäre. Es ist zwar durchaus nachvollziehbar, dass die Angriffe auf seine Person aufgrund seiner kurdischen Ethnie, belastend gewesen sind. Sie haben indes kein derartiges Ausmass angenommen, als dass ihm ein menschenwürdiges Leben in der Türkei verwehrt gewesen wäre. Auch unter Beachtung seines damals jungen Alters - wie vom Beschwerdeführer gefordert - kann ein unerträglicher psychischer Druck, welcher ihm einen weiteren Verbleib in seiner Heimat verunmöglicht hätte, nicht bejaht werden. In der Beschwerdeschrift wird dagegen die Ansicht vertreten, die anlässlich der verschiedenen Vorfälle (sowohl durch die Polizei als auch durch Drittpersonen) erlittene physische und psychische Gewalt stelle eine unmenschliche Behandlung im Sinne des Art. 3 EMRK dar. Es sei somit eine Verletzung von Art. 3 EMRK und Art. 3 FoK anzunehmen. Hierzu ist anzumerken, dass für die Feststellung der Flüchtlingseigenschaft die EMRK und die FoK nicht massgebend sind. Diese kommen bei der Prüfung der Zulässigkeit des Wegweisungsvollzuges zum Tragen. Für die Feststellung der Flüchtlingseigenschaft ist entscheidend, ob eine Person aus einem in Art. 3 AsylG genannten Grund ernsthaften Nachteilen ausgesetzt gewesen ist oder begründete Furcht hat, solchen Nachteilen ausgesetzt zu werden. Neben der Ernsthaftigkeit der Nachteile setzt Art. 3 AsylG auch weitere Aspekte - wie den Kausalzusammenhang - voraus. Was die Vorbringen des Beschwerdeführers betrifft, ist auf die vorstehenden Erwägungen zu verweisen. Insgesamt ist somit festzustellen, dass bestehende Vorfluchtgründe zum Zeitpunkt der Ausreise zu verneinen sind. Aufgrund der vorstehenden Ausführungen ist auch nicht davon auszugehen, dass ihm bei einer Rückkehr mit beachtlicher Wahrscheinlichkeit Nachteile, welche ein asylrelevantes Ausmass annehmen würden, drohen.</w:t>
      </w:r>
    </w:p>
    <w:p>
      <w:r>
        <w:rPr>
          <w:b/>
        </w:rPr>
        <w:t>E. 5.5</w:t>
      </w:r>
    </w:p>
    <w:p>
      <w:r>
        <w:t>Auch aus dem Umstand, dass sich die Sicherheits- und Menschenrechtslage in der Türkei - wie in der Beschwerde an verschiedenen Stellen zutreffend geltend gemacht wird - im Zuge der Parlamentswahlen vom Juni respektive November 2015 und des gleichzeitigen Wiederaufflackerns des Kurdenkonflikts verschlechtert hat, sowie aus den Entwicklungen seit dem gescheiterten Putschversuch vom Juli 2016 und der darauffolgenden Verhängung des Ausnahmezustands, kann der Beschwerdeführer ebenfalls nichts für sich ableiten. Zwar hat sich der Kurdenkonflikt zugespitzt, jedoch richten sich die Massnahmen vor allem gegen Anhänger prokurdischer Parteien, primär gegen Personen, welche eine höhere Funktion innerhalb ihrer Partei oder ein politisches Amt innehaben. Die Sicherheitslage in der Türkei hat sich mithin namentlich für oppositionell tätige Personen in der letzten Zeit verschlechtert (vgl. dazu etwa die Urteile des BVGer D-1041/2015 vom 25. Januar 2017 [recte: 25. Januar 2018] E. 5.5.3 und E-5347/2014 vom 16. November 2016 E. 5.6.2). Der Beschwerdeführer verfügt indes nicht über ein entsprechendes politisches Profil. Diese Einschätzung wird dadurch gestützt, dass er seit 2015 - und somit seit der Verschlechterung der Lage für oppositionell tätige Personen - keinen Behelligungen durch die Behörden mehr ausgesetzt gewesen ist, und auch keine oppositionellen Tätigkeiten mehr ausgeführt hat. Somit ist auch unter Berücksichtigung der aktuellen Lage in der Türkei nicht anzunehmen, dass sein Profil für die Behörden von Interesse ist. Es ist daher davon auszugehen, dass die Zuspitzung der allgemeinen Lage in der Türkei für ihn keine unmittelbar nachteiligen Folgen nach sich ziehen wird.</w:t>
      </w:r>
    </w:p>
    <w:p>
      <w:r>
        <w:rPr>
          <w:b/>
        </w:rPr>
        <w:t>E. 5.6</w:t>
      </w:r>
    </w:p>
    <w:p>
      <w:r>
        <w:t>Auch das Vorbringen, der Beschwerdeführer werde in der Türkei als Refraktär betrachtet und werde bei einer Rückkehr möglicherweise mit einer Geldbusse bestraft, oder direkt in den Militärdienst eingezogen, vermag die Flüchtlingseigenschaft nicht zu begründen. Die schweizerischen Asylbehörden gehen in gefestigter Praxis davon aus, dass es das legitime Recht eines Staates ist, seine Bürger zum Militärdienst zu verpflichten. Die militärische Einberufung erfolgt in der Türkei einzig aufgrund der Staatsangehörigkeit und des Jahrgangs des Betroffenen. Die ethnische und die religiöse Zugehörigkeit des Einberufenen spielen dabei keine Rolle (vgl. etwa Urteil des BVGer E-3873/2014 vom 1. Oktober 2015 E. 6.5 und das noch immer aktuelle Urteil der ARK EMARK 2004 Nr. 2 E. 6.b). Es liegen keine Anzeichen dafür vor, dass Kurden anders als eine andere Ethnie behandelt werden (vgl. UK Home Office, Country Policy and Information Note: Turkey: Military Service, September 2018, https://assets.publishing.service.gov.uk/government/uploads/system/uploads/attachment_data /file /73 8856/Turkey_-_Military_service_-_CPIN_-_v2.0__September_2018_.pdf, abgerufen am 7. August 2019; Immigration and Refugee Board of Canada (IRB), Turkey: Military service, both compulsory and voluntary, including requirements, length, alternatives and exemptions; consequences of draft evasion and conscientious objection [2011-May 2014], 4. Juni 2014, https://irb-cisr.gc.ca/en/country-information/rir/Pages/index.aspx? doc= 455353&amp; pls=1, abgerufen am 7. August 2019). Strafrechtliche oder disziplinarische Massnahmen bei Pflichtverletzungen im Zusammenhang mit der Militärdienstpflicht sind daher grundsätzlich nicht als politisch motivierte oder menschenrechtswidrige Verfolgungsmassnahmen zu betrachten. Anders würde sich die Situation darstellen, wenn beispielsweise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Wie bereits vorstehend ausgeführt, geht das Bundesverwaltungsgericht nicht davon aus, dass der Beschwerdeführer zum heutigen Zeitpunkt aufgrund seiner politischen Vergangenheit von den türkischen Behörden als regimefeindlich eingestuft wird. Auch aufgrund seiner familiären Herkunft muss er nicht damit rechnen, in einem allfälligen Verfahren wegen Refraktion unfair behandelt zu werden. Sein Vater habe seinen Angaben gemäss zwar eine Auseinandersetzung mit dem Dorfvorsteher gehabt, da seine Familienangehörigen die einzigen HDP-Anhänger im Dorf seien, von weiteren erheblichen Benachteiligungen, die seine Eltern erlitten hätten, berichtete er indessen nicht. Insgesamt ist nicht davon auszugehen, es läge gegen den Beschwerdeführer etwas vor, das ihm im Rahmen eines militärstrafrechtlichen Verfahrens zum Nachteil ausgelegt würde.</w:t>
      </w:r>
    </w:p>
    <w:p>
      <w:r>
        <w:rPr>
          <w:b/>
        </w:rPr>
        <w:t>E. 5.7</w:t>
      </w:r>
    </w:p>
    <w:p>
      <w:r>
        <w:t>Zusammenfassend ist festzustellen, dass das SEM die Flüchtlingseigenschaft des Beschwerdeführers zu Recht verneint und dessen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blosse Behauptung des Beschwerdeführers, er habe sich in der Schweiz verlobt und beabsichtige bald zu heiraten (vgl. A34, F13f, F59, F148), begründet noch keinen ausländerrechtlichen Anspruch. Aus den Akten sind keine Anzeichen ersichtlich, wonach ein Ehevorbereitungsverfahren hängig wäre. In der Beschwerde hat sich der Beschwerdeführer nicht mehr zu seinen Heiratsabsichten geäussert.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 entgegen der in der Beschwerdeschrift vertretenen Ansicht - den Wegweisungsvollzug zum heutigen Zeitpunkt nicht als unzulässig erscheinen. Auf die weiteren Ausführungen in der Beschwerdeschrift hinsichtlich der Zulässigkeit des Wegweisungsvollzugs ist nicht weiter einzugehen, da sie sich erneut auf die Flüchtlingseigenschaft beziehen. Es werden keine neuen Anhaltspunkte vorgebracht, wonach dem Beschwerdeführer eine nach Art. 3 EMRK oder Art. 3 FoK verbotene Behandlung drohen würde, welche nicht bereits durch Art. 3 AsylG gedeckt, und bei der Prüfung einer begründeten Furcht vor zukünftiger Verfolgung nicht berücksichtigt worden wäre.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 und den Entwicklungen nach dem Militärputschversuch vom 15./16. Juli 2016, ist gemäss konstanter Praxis nicht von einer Situation allgemeiner Gewalt oder bürgerkriegsähnlichen Verhältnissen - auch nicht für Angehörige der kurdischen Ethnie - auszugehen (vgl. E.5.5 sowie Urteile des BVGer D-1041/2015 vom 25. Januar 2017 [recte: 25. Januar 2018] E. 7.2.2), E-3040/2017 vom 28. Juli 2017 E. 6.2.2, E- 2420/2017 vom 8. Mai 2017 E. 6.2 und D-4568/2016 vom 15. März 2017 E. 6.4.2). Ausgenommen sind die Provinzen Hakkari und Sirnak, in welche das Bundesverwaltungsgericht aufgrund einer anhaltenden Situation allgemeiner Gewalt den Wegweisungsvollzug als unzumutbar erachtet (vgl. BVGE 2013/2 E.9.6).</w:t>
      </w:r>
    </w:p>
    <w:p>
      <w:r>
        <w:rPr>
          <w:b/>
        </w:rPr>
        <w:t>E. 7.4.3</w:t>
      </w:r>
    </w:p>
    <w:p>
      <w:r>
        <w:t>Aufgrund der Aktenlage sind keine Anhaltspunkte dafür ersichtlich, dass der Beschwerdeführer bei einer Rückkehr aus individuellen Gründen in eine existenzbedrohende Situation geraten würde. Er verfügt über mehrjährige Schulbildung und kann Arbeitserfahrung als (...) und als (...) aufweisen (A34, F24, F28). Seine Eltern und Geschwister sowie zahlreiche weitere Verwandte befinden sich nach wie vor in der Türkei (A34, F48-F50). Er verfügt somit über ein tragfähiges familiäres Beziehungsnetz, welches ihn bei einer Reintegration unterstützen kann. Nach dem Gesagten erweist sich der Vollzug der Wegweisung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30. Juli 2019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10</w:t>
      </w:r>
    </w:p>
    <w:p>
      <w:r>
        <w:t>Infolge Gewährung der unentgeltlichen Rechtspflege ist der eingesetzten Rechtsvertretung ein amtliches Honorar zu entrichten. Der Rechtsvertreter hat keine Kostennote zu den Akten gereicht. Der notwendige Vertretungsaufwand lässt sich aufgrund der Aktenlage zuverlässig abschätzen, weshalb - mit Verweis auf die Zwischenverfügung vom 30. Juli 2019 - auf die Einholung einer Honorarnote verzichtet werden kann (Art. 14 Abs. 2 in fine VGKE). Gestützt auf die in Betracht zu ziehenden Bemessungsfaktoren (Art. 9 -13 VGKE) sowie der Entschädigungspraxis in vergleichbaren Fällen ist dem Rechtsvertreter zulasten der Gerichtskasse für die 14-seitige Beschwerdeschrift ein amtliches Honorar von Fr. 1500.-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