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E-3800/2007 vom 10. August 2010</w:t>
      </w:r>
    </w:p>
    <w:p>
      <w:r>
        <w:t>Bundesverwaltungsgericht, 2010-08-10, FR</w:t>
      </w:r>
    </w:p>
    <w:p>
      <w:r>
        <w:rPr>
          <w:b/>
        </w:rPr>
        <w:t xml:space="preserve">Quelle: </w:t>
      </w:r>
      <w:r>
        <w:t>https://mcp.opencaselaw.ch/entscheid/bvger_E-3800_2007</w:t>
      </w:r>
    </w:p>
    <w:p>
      <w:r>
        <w:t>FR: TAF E-3800/2007 du 10 août 2010</w:t>
      </w:r>
    </w:p>
    <w:p>
      <w:r>
        <w:t>IT: TAF E-3800/2007 del 10 agosto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w:t>
      </w:r>
    </w:p>
    <w:p>
      <w:r>
        <w:rPr>
          <w:b/>
        </w:rPr>
        <w:t>E. 1.2</w:t>
      </w:r>
    </w:p>
    <w:p>
      <w:r>
        <w:t>La recourante a qualité pour recourir (art. 48 al. 1 PA).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12ss).</w:t>
      </w:r>
    </w:p>
    <w:p>
      <w:r>
        <w:rPr>
          <w:b/>
        </w:rPr>
        <w:t>E. 3.1</w:t>
      </w:r>
    </w:p>
    <w:p>
      <w:r>
        <w:t>En l'occurrence, force est d'admettre, au préalable, que la tromperie retenue par l'ODM à l'encontre de la recourante concernant son séjour en France (cf. consid. D du présent arrêt) n'a pas eu d'incidence sur sa décision du 3 mai 2007. En effet, l'ODM a fondé sa décision uniquement sur le nouveau motif invoqué, à savoir la santé de l'intéressée. Partant, cet élément n'est pas examiné.</w:t>
      </w:r>
    </w:p>
    <w:p>
      <w:r>
        <w:rPr>
          <w:b/>
        </w:rPr>
        <w:t>E. 3.2</w:t>
      </w:r>
    </w:p>
    <w:p>
      <w:r>
        <w:t>Ainsi, l'état de santé de la recourante constitue un élément de fait nouveau, attesté par de nouveaux moyens de preuve (certificats médicaux), qui ouvre donc la voie du réexamen, au vu de la modification de la situation. Dès lors, il convient d'apprécier si cet élément est suffisamment important pour justifier la modification de la décision prise au terme de la procédure ordinaire, en matière d'exécution du renvoi. Autrement dit, il convient d'apprécier si le nouvel élément invoqué démontre que désormais la recourante devrait être admise provisoirement en Suisse.</w:t>
      </w:r>
    </w:p>
    <w:p>
      <w:r>
        <w:rPr>
          <w:b/>
        </w:rPr>
        <w:t>E. 4</w:t>
      </w:r>
    </w:p>
    <w:p>
      <w:r>
        <w:t>L'exécution du renvoi est ordonnée si elle est licite, raisonnablement exigible et possible (art. 44 al. 2 LAsi). Ces empêchements sont de nature alternative, c'est-à-dire qu'il suffit que l'un d'eux soit réalisé pour que le renvoi soit inexécutable (JICRA 2006 n° 6 consid. 4.2 p. 54 ss). A défaut, l'ODM prononce l'admission provisoire, réglée par l'art. 83 de la loi fédérale sur les étrangers du 16 décembre 2005 (LEtr, RS 142.20), entrée en vigueur le 1er janvier 2008. Cette disposition a remplacé l'art. 14a de l'ancienne loi fédérale du 26 mars 1931 sur le séjour et l'établissement des étrangers (LSEE), invoqué en son temps par l'intéressée. En l'occurrence, c'est sur la question de l'exigibilité de l'exécution du renvoi que l'autorité de céans entend porter son examen, ainsi que la recourante l'a invoqué dans son recours.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5.2</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18ss).</w:t>
      </w:r>
    </w:p>
    <w:p>
      <w:r>
        <w:rPr>
          <w:b/>
        </w:rPr>
        <w:t>E. 5.3.1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5.3.2</w:t>
      </w:r>
    </w:p>
    <w:p>
      <w:r>
        <w:t>En l'occurrence, les cinq certificats médicaux, dont trois très détaillés comportant chacun entre six et sept pages, décrivent l'état dépressif persistant de l'intéressée. En effet, le médecin, qui la suit depuis le mois de juillet 2006, a posé un diagnostic lourd. Selon le spécialiste, le vécu de l'intéressée a eu pour conséquence "un développement psychologique critique débouchant sur l'installation d'un état dépressif récurrent avec des épisodes sévères importants et fréquents, une anxiété de séparation caractéristique de la prime enfance et finalement une modification durable de sa personnalité" (certificat médical du 9 juin 2010, p. 4, par. intitulé "discussion et pronostic"). Ainsi, à la lecture du dernier certificat médical du 9 juin 2010, on conclut que la recourante souffre d'un PTSD chronique, dont la modification durable de la personnalité est une séquelle irréversible, ainsi que d'un trouble anxieux et dépressif mixte, également chronique. Sur ce dernier élément, le médecin a considéré que, malgré certains épisodes de stabilisation, rien ne permettait de supposer une éventuelle guérison. Dès lors, force est d'admettre que la recourante est atteinte de façon importante et durable dans sa santé. En effet, bien qu'elle soit suivie par le spécialiste, à raison d'une séance hebdomadaire de psychothérapie depuis de nombreuses années, celui-ci n'a pas noté d'amélioration, ce qui est confirmé par la similitude de ses certificats successifs, établis sur quatre ans. De plus, le médecin n'a cessé de signaler que, compte tenu de la fragilité de l'état psychologique de sa patiente, une hospitalisation en milieu psychiatrique n'était pas exclue et pouvait intervenir à tout moment suivant l'évolution de la situation (cf. notamment certificat médical du 9 juin 2010, p. 4, par. intitulé "traitement"). Cet état dépressif récurrent est à mettre en lien, selon le médecin, avec l'expérience de vie de la recourante et sa situation familiale catastrophique (cf. certificat médical du 9 juin 2010, p. 6, dernier par.). Il convient donc, à ce stade, de rappeler le vécu de l'intéressée. Ses parents sont décédés en 1992, ce qu'elle a attesté par le dépôt de certificats de décès, alors qu'elle n'était âgée que d'environ 8 ans. Elle a déménagé à plusieurs reprises, dans différents villages de la municipalité de B._______, jusqu'en 1995. Ensuite, elle a été placée en orphelinat de 1995 à 2003. Depuis sa majorité, elle a vécu chez des proches durant deux ans et demi (de décembre 2002 à avril / mai 2005), avant de quitter son pays d'origine pour la France, puis en Suisse, où l'intéressée est venue rejoindre sa soeur aînée en novembre 2005. A noter que sa soeur est en Suisse depuis l'été 2000 et qu'elle est désormais au bénéfice d'une autorisation de séjour (permis B). Dans ces circonstances, le spécialiste a estimé que ces événements avaient créé un état de dépendance affective et que la séparation de la recourante et de sa fratrie avait installé un état dépressif chronique (cf. certificat médical du 9 juin 2010, p. 5, 3ème par.), qui avait eu un effet désastreux sur le développement de sa personnalité (cf. certificat médical du 9 juin 2010, p. 5, 4ème par.). "Cette modification va dans le sens d'une personnalité instable aux traits abandonniques et paranoïdes caractérisée par les sentiments de vide et de perte d'espoir ainsi que par la méfiance et l'isolement social et une labilité émotionnelle extrême. Son psychisme affaibli a réagi par le développement d'une symptomatologie dépressive récurrente avec des pics plus ou moins importants suivant l'évolution des évènements extérieurs" (cf. certificat médical du 9 juin 2010, p. 5, 4ème par.). Le médecin a insisté à plusieurs reprises sur le fait que la recourante avait tissé un lien de dépendance extrêmement fort avec sa soeur aînée, à défaut d'amour et de présence parentale. Sa soeur a pris le rôle maternel, en fournissant à l'intéressée l'affection nécessaire au développement de chaque enfant; elle constitue la seule sécurité lui permettant le maintien de son équilibre psychologique et son soutien a permis à la recourante de se reconstruire un semblant d'équilibre, de continuer son existence, sa famille étant "tout ce qu'elle a" (cf. certificat médical du 9 juin 2010, p. 5, 2ème par. et p. 6). Dès lors, une séparation de l'intéressée de sa soeur aînée est absolument proscrite par le médecin et compterait des risques cliniques sur plusieurs niveaux (cf. certificat médical du 9 juin 2010, p. 6). Ainsi, la recourante ne disposerait, dans son pays d'origine, ni d'un réseau social et familial disposé à la soutenir financièrement, tant pour sa survie et que pour les soins adéquats, ni de l'encadrement indispensable - constitué par le soutien et la présence de sa soeur aînée - pour garantir le respect des thérapies indiquées. De plus, elle n'a pas d'autonomie psychologique suffisante pour lui permettre une survie indépendante. Dès lors, la déchirure émotionnelle d'une séparation de sa soeur replongerait inévitablement la recourante dans les traumatismes subis, ce qui aurait des conséquences irréversibles sur sa santé psychique, compromettrait sérieusement toute éventualité de stabilisation et comporterait des risques gravissimes pour la survie même de la patiente, le risque suicidaire étant hautement élevé. En conclusion, le spécialiste a considéré que le traitement n'avait aucune chance d'aboutir, sans la présence du seul cadre sécurisant que connaît la patiente, constitué par la présence et la proximité de sa soeur aînée (cf. certificat médical du 9 juin 2010, p. 6, dernier par. et p. 7).</w:t>
      </w:r>
    </w:p>
    <w:p>
      <w:r>
        <w:rPr>
          <w:b/>
        </w:rPr>
        <w:t>E. 5.3.3</w:t>
      </w:r>
    </w:p>
    <w:p>
      <w:r>
        <w:t>Dès lors, le Tribunal considère que cet élément nouveau est suffisamment important pour admettre l'existence d'un changement notable de circonstances, qui justifie la modification de la décision d'exécution du renvoi prise au terme de la procédure ordinaire. Il ressort en effet du dossier que l'exécution du renvoi impliquerait une mise en danger concrète de la recourante, puisque le médecin a maintenu, dans tous ses certificats, que la déchirure émotionnelle que causerait cette mesure comportait "des risques gravissimes pour la survie même de la patiente, le risque d'acte suicidaire étant hautement élevé" (cf. notamment certificat médical du 9 juin 2010, p. 6). Par conséquent, le tableau clinique global de la recourante permet d'admettre qu'un renvoi dans son pays d'origine induirait une dégradation rapide de son état de santé au point de conduire, d'une manière plus que probable, à la mise en danger concrète de sa vie à brève échéance, et ce, indépendamment des soins dont elle pourrait bénéficier en Bosnie et Herzégovine.</w:t>
      </w:r>
    </w:p>
    <w:p>
      <w:r>
        <w:rPr>
          <w:b/>
        </w:rPr>
        <w:t>E. 5.4</w:t>
      </w:r>
    </w:p>
    <w:p>
      <w:r>
        <w:t>Aux problèmes de santé de l'intéressée, s'ajoute le fait qu'elle est jeune, qu'elle n'a pas achevé sa formation et qu'elle n'a aucune expérience professionnelle. Elle ne sera donc probablement pas en mesure de trouver un emploi à court terme lui permettant non seulement de subvenir à ses besoins vitaux, mais également, si nécessaire, d'assurer des soins médicaux indispensables. La recourante n'ayant pas actualisé sa situation familiale, alors que cela lui a été demandé par ordonnance du 15 avril 2010, le Tribunal prend en considération les éléments qu'elle avait fournis dans son courrier du 20 juillet 2007. Ainsi, comme relevé ci-avant, l'intéressée a perdu ses parents lorsqu'elle était jeune et n'a, dans son pays d'origine, que sa soeur cadette qui vit dans un orphelinat. Certes, elle a aussi une tante veuve et la femme d'un oncle décédé, mais qui vivent toutes deux seules et avec leurs propres enfants à charge; il n'est donc pas établi qu'elles seraient en mesure de loger la recourante, même temporairement et, surtout, de subvenir aux besoins économiques de celle-ci, eu égard en particulier aux soins qu'elle nécessite.</w:t>
      </w:r>
    </w:p>
    <w:p>
      <w:r>
        <w:rPr>
          <w:b/>
        </w:rPr>
        <w:t>E. 5.5</w:t>
      </w:r>
    </w:p>
    <w:p>
      <w:r>
        <w:t>Dans ces circonstances, force est d'admettre que la recourante serait confrontée à des difficultés plus importantes que celles que rencontrent en général les personnes résidant ou retournant en Bosnie et Herzégovine.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 la recourante en Bosnie et Herzégovine n'est, en l'état, pas raisonnablement exigible.</w:t>
      </w:r>
    </w:p>
    <w:p>
      <w:r>
        <w:rPr>
          <w:b/>
        </w:rPr>
        <w:t>E. 6</w:t>
      </w:r>
    </w:p>
    <w:p>
      <w:r>
        <w:t>Il s'ensuit que le recours est admis. La décision de l'ODM du 3 mai 2007 rejetant la demande de réexamen est annulée. Les points 4 et 5 du dispositif de la décision du 12 décembre 2005 sont annulés. L'ODM est invité à régler les conditions de séjour en Suisse de la recourante conformément aux dispositions régissant l'admission provisoire.</w:t>
      </w:r>
    </w:p>
    <w:p>
      <w:r>
        <w:rPr>
          <w:b/>
        </w:rPr>
        <w:t>E. 7.1</w:t>
      </w:r>
    </w:p>
    <w:p>
      <w:r>
        <w:t>La recourante ayant obtenu gain de cause, il n'y a pas lieu de percevoir de frais de procédure (art. 63 al. 1 et 2 PA).</w:t>
      </w:r>
    </w:p>
    <w:p>
      <w:r>
        <w:rPr>
          <w:b/>
        </w:rPr>
        <w:t>E. 7.2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l'espèce, la note d'honoraires du mandataire s'élève à Fr. (...), TVA comprise. Après un examen du dossier de la cause, le Tribunal estime équitable de fixer l'indemnité due, à titre de dépens, à hauteur de Fr. .2'690.-, TVA comprise (Fr. 250.-/heure +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