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E-3783/2014 vom 9. Juli 2014</w:t>
      </w:r>
    </w:p>
    <w:p>
      <w:r>
        <w:t>Bundesverwaltungsgericht, 2014-07-09, DE</w:t>
      </w:r>
    </w:p>
    <w:p>
      <w:r>
        <w:rPr>
          <w:b/>
        </w:rPr>
        <w:t xml:space="preserve">Quelle: </w:t>
      </w:r>
      <w:r>
        <w:t>https://mcp.opencaselaw.ch/entscheid/bvger_E-3783_2014</w:t>
      </w:r>
    </w:p>
    <w:p>
      <w:r>
        <w:t>FR: TAF E-3783/2014 du 9 juillet 2014</w:t>
      </w:r>
    </w:p>
    <w:p>
      <w:r>
        <w:t>IT: TAF E-3783/2014 del 9 luglio 2014</w:t>
      </w:r>
    </w:p>
    <w:p>
      <w:pPr>
        <w:pStyle w:val="Heading2"/>
      </w:pPr>
      <w:r>
        <w:t>Regeste</w:t>
      </w:r>
    </w:p>
    <w:p>
      <w:r>
        <w:t>Nichteintreten auf Asylgesuch (kein Asylgesuch gemäss AsylG)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 unter Vorbehalt der nachstehenden Erwägungen - einzutreten.</w:t>
      </w:r>
    </w:p>
    <w:p>
      <w:r>
        <w:rPr>
          <w:b/>
        </w:rPr>
        <w:t>E. 1.2</w:t>
      </w:r>
    </w:p>
    <w:p>
      <w:r>
        <w:t>Die Begehren auf Feststellung der Flüchtlingseigenschaft und Gewährung von Asyl gehen über den zulässigen Streitgegenstand hinaus. Auf die Beschwerde ist insoweit nicht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Bei Beschwerden gegen Nichteintretensentscheide, mit denen es das BFM ablehnt, das Asylgesuch auf seine Begründetheit hin zu überprüfen (Art. 31a Abs. 1-3 AsylG), ist die Beurteilungskompetenz der Beschwerdeinstanz grundsätzlich auf die Frage beschränkt ist, ob die Vorinstanz zu Recht auf das Asylgesuch nicht eingetreten ist (BVGE 2011/9 E. 5.).</w:t>
      </w:r>
    </w:p>
    <w:p>
      <w:r>
        <w:rPr>
          <w:b/>
        </w:rPr>
        <w:t>E. 4.2</w:t>
      </w:r>
    </w:p>
    <w:p>
      <w:r>
        <w:t>Gemäss Art. Art. 31a Abs. 3 AsylG tritt das BFM auf ein Asylgesuch nicht ein, welches die Voraussetzung von Art. 18 nicht erfüllt. Dies gilt namentlich, wenn das Asylgesuch ausschliesslich aus wirtschaftlichen oder medizinischen Gründen eingereicht wird. Nach Art. 18 AsylG gilt als Asylgesuch jede Äusserung, mit der eine Person zu erkennen gibt, dass sie die Schweiz um Schutz vor Verfolgung nachsucht. Praxisgemäss ist dabei von einem weiten Verfolgungsbegriff auszugehen, der neben den in Art. 3 AsylG genannten Gründen auch Wegweisungshindernisse im Sinne von Art. 44 AsylG i.V.m. Art. 83 Abs. 2-4 AuG (SR 142.20) umfasst (statt vieler: Urteil des Bundesverwaltungsgerichts E-2122/2014 vom 5. Mai 2014).</w:t>
      </w:r>
    </w:p>
    <w:p>
      <w:r>
        <w:rPr>
          <w:b/>
        </w:rPr>
        <w:t>E. 5</w:t>
      </w:r>
    </w:p>
    <w:p>
      <w:r>
        <w:t>Die Vorinstanz gelangt in der angefochtenen Verfügung zum Schluss, aus den Aussagen des Beschwerdeführers ergebe sich, dass er nicht um Schutz vor Verfolgung nachsuche. Er habe ausschliesslich wirtschaftliche Gründe und nicht Gründe nach Art. 3 AsylG für das Verlassen des Heimatlandes vorgetragen. Diese vorinstanzliche Würdigung ist nicht zu beanstanden. Was in der Rechtsmitteleingabe dagegen vorgebracht wird, ist nicht geeignet, den vorinstanzlichen Schluss in Frage zu ziehen. Erneut beruft sich der Beschwerdeführer auf die wirtschaftlich schlechte Situation sowie die Not in Marokko. Damit macht er offensichtlich keine Verfolgung im Sinne von Art. 3 AsylG geltend. Die Vorinstanz hat demnach zu Recht festgestellt, dass die Voraussetzungen von Art. 18 AsylG nicht gegeben sind und damit kein Asylgesuch vorliegt. Sie ist zu Recht auf das Asylgesuch nicht eingetreten.</w:t>
      </w:r>
    </w:p>
    <w:p>
      <w:r>
        <w:rPr>
          <w:b/>
        </w:rPr>
        <w:t>E. 6</w:t>
      </w:r>
    </w:p>
    <w:p>
      <w:r>
        <w:t>Gemäss Art. 44 AsylG verfügt das Bundesamt in der Regel die Wegweisung aus der Schweiz, wenn es das Asylgesuch ablehnt oder darauf nicht eintritt. Die Beschwerdeführenden verfügen über keine ausländerrechtliche Aufenthaltsbewilligung oder über einen Anspruch auf Erteilung einer solchen (BVGE 2009/50 E. 9). Die Wegweisung wurde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AuG).</w:t>
      </w:r>
    </w:p>
    <w:p>
      <w:r>
        <w:rPr>
          <w:b/>
        </w:rPr>
        <w:t>E. 7.2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Marokko dort mit beachtlicher Wahrscheinlichkeit einer nach Art. 3 EMRK oder Art. 1 FoK verbotenen Strafe oder Behandlung ausgesetzt wären.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Auf Unzumutbarkeit des Vollzugs der Wegweisung aufgrund einer medizinischen Notlage ist zu schliessen,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(BVGE 2011/50 E. 8.3). Der Beschwerdeführer macht sinngemäss geltend, aus medizinischen Gründen sei der Vollzug der Wegweisung nicht zumutbar. Er leide an einem akuten Infekt im Fuss. Aufgrund der Akten ergibt sich, dass der Beschwerdeführer im März 2014 in der Dusche ausrutschte und sich am rechten Fuss verletzte. Gemäss dem Austrittsbericht vom 4. April 2014 wurde die Verletzung im Kantonsspital B._______ behandelt und der Beschwerdeführer nach zwei Tagen entlassen. In der Folge musste der Beschwerdeführer bis und mit dem 6. Mai 2014 Medikamente einnehmen und die Wunde weiter reinigen sowie abdecken. Gemäss dem ärztlichen Bericht vom 4. Juli 2014 liegen trockene Wundverhältnisse vor, hat sich Schorf über der Wunde sowie den Drainagenaustrittstellen gebildet und liegt lediglich eine leichte Rötung sowie Schwellung im Vergleich zur Gegenseite vor. Der behandelnde Arzt ordnete eine erneute antibiotische Therapie vom 4. Juli 2014 für sieben Tage an und verschrieb dem Beschwerdeführer Schmerzmittel. Die siebentägige Behandlungszeit ist demnächst abgelaufen und eine weitere Behandlung weder angeordnet noch ersichtlich. Mit der Vorinstanz ist daher zu schliessen, dass die Bewegungs- und Arbeitsfähigkeit des Beschwerdeführers in naher Zukunft wieder vollumfänglich hergestellt sein wird und er nicht auf eine medizinische Behandlung in der Schweiz angewiesen ist. Insgesamt liegen somit keine Hindernisse medizinischer Art vor, welche dem Vollzug der Wegweisung entgegenstehen würden. Dem Beschwerdeführer seht es indes frei, beim BFM einen Antrag auf individuelle Rückkehrhilfe zu stellen (vgl. Art. 93 Abs. 1 Bst. d AsylG i.V.m. Art. 73 ff. der Asylverordnung 2 vom 11. August 1999 über Finanzierungsfragen [AsylV 2], SR 142.312 sowie die Weisungen des BFM vom 1. Januar 2008 betreffend Rückkehr- und Wiedereingliederungshilfe). Schliesslich herrscht in Marokko keine Situation allgemeiner Gewalt und stellen gemäss ständiger Praxis des Bundesverwaltungsgerichts blosse soziale und wirtschaftliche Schwierigkeiten jedenfalls keine existenzbedrohende Situation dar, die gegen die Zumutbarkeit des Vollzug spricht (BVGE 2010/41 E. 8.3.6). Der Vollzug der Wegweisung ist somit insgesamt zumutbar.</w:t>
      </w:r>
    </w:p>
    <w:p>
      <w:r>
        <w:rPr>
          <w:b/>
        </w:rPr>
        <w:t>E. 7.4</w:t>
      </w:r>
    </w:p>
    <w:p>
      <w:r>
        <w:t>Es obliegt dem Beschwerdeführer, sich bei der zuständigen Vertretung seines Heimatstaats die für eine Rückkehr notwendigen Reisedokumente zu beschaffen (Art. 8 Abs. 4 AsylG und dazu BVGE 2008/34 E. 12), weshalb der Vollzug der Wegweisung möglich ist.</w:t>
      </w:r>
    </w:p>
    <w:p>
      <w:r>
        <w:rPr>
          <w:b/>
        </w:rPr>
        <w:t>E. 7.5</w:t>
      </w:r>
    </w:p>
    <w:p>
      <w:r>
        <w:t>Die Vorinstanz hat den Vollzug demnach zu Recht als zulässig, zumutbar und möglich erachtet.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AsylG). Die Beschwerde ist abzuweisen, soweit darauf einzutreten ist. Damit ist der Antrag auf Wiederherstellung der aufschiebenden Wirkung gegenstandslos geworden. Ebenso sind der Antrag betreffend Kontaktaufnahme mit den Behörden des Heimatlandes und der Antrag betreffend Datenweitergabe gegenstandslos geworden. Was den Antrag auf Erlass einer separaten Verfügung betreffend eine bereits erfolgte Datenweitergabe anbelangt, ist festzustellen, dass den Akten keine entsprechenden Hinweise zu entnehmen sind.</w:t>
      </w:r>
    </w:p>
    <w:p>
      <w:r>
        <w:rPr>
          <w:b/>
        </w:rPr>
        <w:t>E. 9.1</w:t>
      </w:r>
    </w:p>
    <w:p>
      <w:r>
        <w:t>Der Beschwerdeführer beantragt die Gewährung der unentgeltlichen Rechtspflege gemäss Art. 65 Abs. 1 VwVG. Aufgrund der vorstehenden Erwägungen ergibt sich, dass sein Begehren als aussichtslos zu gelten haben. Damit ist eine der kumulativ zu erfüllenden Voraussetzungen nicht gegeben, weshalb dem Gesuch um Gewährung der unentgeltlichen Rechtspflege nicht stattzugeben ist.</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