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E-3783/2009 vom 11. August 2009</w:t>
      </w:r>
    </w:p>
    <w:p>
      <w:r>
        <w:t>Bundesverwaltungsgericht, 2009-08-11, DE</w:t>
      </w:r>
    </w:p>
    <w:p>
      <w:r>
        <w:rPr>
          <w:b/>
        </w:rPr>
        <w:t xml:space="preserve">Quelle: </w:t>
      </w:r>
      <w:r>
        <w:t>https://mcp.opencaselaw.ch/entscheid/bvger_E-3783_2009</w:t>
      </w:r>
    </w:p>
    <w:p>
      <w:r>
        <w:t>FR: TAF E-3783/2009 du 11 août 2009</w:t>
      </w:r>
    </w:p>
    <w:p>
      <w:r>
        <w:t>IT: TAF E-3783/2009 del 11 agosto 2009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(Wiedererwägungs-)Gesuche um Gewährung der unentgeltlichen Prozessführung und um Beigabe eines amtlichen Anwalts (Art. 65 Abs. 1 und 2 VwVG) werden gutgeheissen.</w:t>
      </w:r>
    </w:p>
    <w:p>
      <w:r>
        <w:rPr>
          <w:b/>
        </w:rPr>
        <w:t>E. 3</w:t>
      </w:r>
    </w:p>
    <w:p>
      <w:r>
        <w:t>Es werden keine Verfahrenskosten erhoben.</w:t>
      </w:r>
    </w:p>
    <w:p>
      <w:r>
        <w:rPr>
          <w:b/>
        </w:rPr>
        <w:t>E. 4</w:t>
      </w:r>
    </w:p>
    <w:p>
      <w:r>
        <w:t>Rechtsanwalt Bernhard Jüsi wird als amtlicher Anwalt der Beschwerdeführenden eingesetzt.</w:t>
      </w:r>
    </w:p>
    <w:p>
      <w:r>
        <w:rPr>
          <w:b/>
        </w:rPr>
        <w:t>E. 5</w:t>
      </w:r>
    </w:p>
    <w:p>
      <w:r>
        <w:t>Das vom Bundesverwaltungsgericht zu begleichende Honorar des amtlichen Anwalts wird auf Fr. 1500.- festgesetzt.</w:t>
      </w:r>
    </w:p>
    <w:p>
      <w:r>
        <w:rPr>
          <w:b/>
        </w:rPr>
        <w:t>E. 6</w:t>
      </w:r>
    </w:p>
    <w:p>
      <w:r>
        <w:t>Dieses Urteil geht an den amtlichen Anwalt der Beschwerdeführenden, das BFM und das Migrationsamt des Kantons (...). Der vorsitzende Richter: Die Gerichtsschreiberin: Markus König Karin Maeder-Steiner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