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E-3779/2024 vom 10. Juli 2024</w:t>
      </w:r>
    </w:p>
    <w:p>
      <w:r>
        <w:t>Bundesverwaltungsgericht, 2024-07-10, DE</w:t>
      </w:r>
    </w:p>
    <w:p>
      <w:r>
        <w:rPr>
          <w:b/>
        </w:rPr>
        <w:t xml:space="preserve">Quelle: </w:t>
      </w:r>
      <w:r>
        <w:t>https://mcp.opencaselaw.ch/entscheid/bvger_E-3779_2024</w:t>
      </w:r>
    </w:p>
    <w:p>
      <w:r>
        <w:t>FR: TAF E-3779/2024 du 10 juillet 2024</w:t>
      </w:r>
    </w:p>
    <w:p>
      <w:r>
        <w:t>IT: TAF E-3779/2024 del 10 luglio 2024</w:t>
      </w:r>
    </w:p>
    <w:p>
      <w:pPr>
        <w:pStyle w:val="Heading2"/>
      </w:pPr>
      <w:r>
        <w:t>Regeste</w:t>
      </w:r>
    </w:p>
    <w:p>
      <w:r>
        <w:t>Asyl und Wegweisung (Mehrfachgesuch)</w:t>
      </w:r>
    </w:p>
    <w:p>
      <w:pPr>
        <w:pStyle w:val="Heading2"/>
      </w:pPr>
      <w:r>
        <w:t>Erwägungen</w:t>
      </w:r>
    </w:p>
    <w:p>
      <w:r>
        <w:rPr>
          <w:b/>
        </w:rPr>
        <w:t>E. 19</w:t>
      </w:r>
    </w:p>
    <w:p>
      <w:r>
        <w:t>September 2023 mit keinem Wort erwähnte, er habe sich auf den sozi- alen Medien exilpolitisch geäussert, dass die entsprechenden Unterlagen denn auch erst auf Beschwerde- ebene eingereicht wurden, dass die zahlreichen zu den Akten gereichten Beweismittel mangels Fäl- schungssicherheit kaum Beweiswert aufweisen, zumal allgemein bekannt ist, dass solche Dokumente in der Türkei leicht käuflich erwerbbar sind, dass selbst bei Annahme, es seien Strafverfahren gegen den Beschwer- deführer eingeleitet worden, nicht ohne Weiteres von einer späteren Ver- urteilung des strafrechtlich unbescholtenen Beschwerdeführers – insbe- sondere nicht zu einer unbedingten mehrjährigen Freiheitsstrafe – auszu- gehen ist, zumal in der Türkei Ermittlungs- und Strafverfahren wegen Ver- breitung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auf Beschwerdeebene als Beweismittel eingereichten türkischen Strafurteile gegen Dritte (vgl. Beschwerde, Beilagen 7, 8, 9), an dieser Ein- schätzung nichts zu ändern vermögen, dass mit der Vorinstanz auch bei einem Festnahme- oder Vorführbefehl im Kontext des Ermittlungsverfahrens zum genannten Tatbestand nicht von einem systematischen Risiko einer asylrelevanten Verfolgung auszugehen ist (vgl. BVGer D-3593/2024 vom 19. Juni 2024, E. 6.2) und diese Einschät- zung wiederum durch das niederschwellige politische Profil des Beschwer- deführers bestärkt wird,</w:t>
      </w:r>
    </w:p>
    <w:p>
      <w:r>
        <w:t>E-3779/2024 Seite 6 dass von dieser Einschätzung auch das mit der Rechtsmitteleingabe zu den Akten gereichte Schreiben der «Generaldirektion für Sicherheit» vom 13. Mai 2024 gedeckt ist, dass sich nach dem Gesagten eine Überprüfung der Echtheit der als Be- weismittel eingereichten Dokumente erübrigt und auch die Vorinstanz un- ter diesen Umständen entgegen der Behauptung des Beschwerdeführers (Beschwerde, S. 9) nicht zu einer solchen Überprüfung verpflichtet war, dass der Vollständigkeit halber festzuhalten ist, dass nach dem Gesagten auch die Zugehörigkeit zur kurdischen Ethnie den vorliegenden Sachver- halt entgegen den Behauptungen des Beschwerdeführers aus Sicht der Asylrelevanz nicht zu schärfen vermag (vgl. Beschwerde S.10-12, 16, 22-23), dass bezüglich der geltend gemachten Reflexverfolgung des Beschwerde- führers seit der Ausreise aus der Türkei auf das Urteil des BVGer E-3879/2024 vom gleichen Datum verwiesen werden kann, demgemäss die Flüchtlingseigenschaft des Vaters verneint wird,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w:t>
      </w:r>
    </w:p>
    <w:p>
      <w:r>
        <w:t>E-3779/2024 Seite 7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bezüglich der allgemeinen wie auch der individuellen Zumutbarkeit des Wegweisungsvollzugs auf die Erwägungen im Urteil des BVGer E-3045/2023 vom 14. Juli 2023 (dort E. 9.3) verwiesen werden kann und sich weder die allgemeine Situation in der Türkei noch die individuelle Si- tuation des Beschwerdeführers aus Sicht des Gerichts seit dem genannten Verfahren massgeblich geändert hat, womit der Vollzug der Wegweisung weiterhin zumutbar ist,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 che praxisgemäss auf Fr. 2’000.– zu bestimmen sind – aufzuerlegen sind (Art. 63 Abs. 1 VwVG; Art. 1–3 des Reglements vom 21. Februar 2008 über die Kosten und Entschädigungen vor dem Bundesverwaltungsgericht [VGKE, SR 173.320.2]).</w:t>
      </w:r>
    </w:p>
    <w:p>
      <w:r>
        <w:t>(Dispositiv nächste Seite)</w:t>
      </w:r>
    </w:p>
    <w:p>
      <w:r>
        <w:t>E-3779/2024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