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E-3773/2022 vom 19. Oktober 2022</w:t>
      </w:r>
    </w:p>
    <w:p>
      <w:r>
        <w:t>Bundesverwaltungsgericht, 2022-10-19, DE</w:t>
      </w:r>
    </w:p>
    <w:p>
      <w:r>
        <w:rPr>
          <w:b/>
        </w:rPr>
        <w:t xml:space="preserve">Quelle: </w:t>
      </w:r>
      <w:r>
        <w:t>https://mcp.opencaselaw.ch/entscheid/bvger_E-3773_2022</w:t>
      </w:r>
    </w:p>
    <w:p>
      <w:r>
        <w:t>FR: TAF E-3773/2022 du 19 octobre 2022</w:t>
      </w:r>
    </w:p>
    <w:p>
      <w:r>
        <w:t>IT: TAF E-3773/2022 del 19 ottobre 2022</w:t>
      </w:r>
    </w:p>
    <w:p>
      <w:pPr>
        <w:pStyle w:val="Heading2"/>
      </w:pPr>
      <w:r>
        <w:t>Regeste</w:t>
      </w:r>
    </w:p>
    <w:p>
      <w:r>
        <w:t>Vollzug der Wegweisung (Wiedererwägung)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auf diese eingetreten wird.</w:t>
      </w:r>
    </w:p>
    <w:p>
      <w:r>
        <w:rPr>
          <w:b/>
        </w:rPr>
        <w:t>E. 2</w:t>
      </w:r>
    </w:p>
    <w:p>
      <w:r>
        <w:t>Die Verfahrenskosten von Fr. 1'500.– werden dem Beschwerdeführer auf- erlegt. Der in gleicher Höhe geleistete Kostenvorschuss wird zur Bezah- lung der Verfahrenskosten verwendet.</w:t>
      </w:r>
    </w:p>
    <w:p>
      <w:r>
        <w:rPr>
          <w:b/>
        </w:rPr>
        <w:t>E. 3</w:t>
      </w:r>
    </w:p>
    <w:p>
      <w:r>
        <w:t>Dieses Urteil geht an den Beschwerdeführer, das SEM und die zuständige kantonale Behörde.</w:t>
      </w:r>
    </w:p>
    <w:p>
      <w:r>
        <w:t>Die Einzelrichterin: Der Gerichtsschreiber:</w:t>
      </w:r>
    </w:p>
    <w:p>
      <w:r>
        <w:t>Gabriela Freihofer Stefan Trottmann</w:t>
      </w:r>
    </w:p>
    <w:p>
      <w:r>
        <w:t>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