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E-376/2018 vom 8. Februar 2018</w:t>
      </w:r>
    </w:p>
    <w:p>
      <w:r>
        <w:t>Bundesverwaltungsgericht, 2018-02-08, DE</w:t>
      </w:r>
    </w:p>
    <w:p>
      <w:r>
        <w:rPr>
          <w:b/>
        </w:rPr>
        <w:t xml:space="preserve">Quelle: </w:t>
      </w:r>
      <w:r>
        <w:t>https://mcp.opencaselaw.ch/entscheid/bvger_E-376_2018</w:t>
      </w:r>
    </w:p>
    <w:p>
      <w:r>
        <w:t>FR: TAF E-376/2018 du 8 février 2018</w:t>
      </w:r>
    </w:p>
    <w:p>
      <w:r>
        <w:t>IT: TAF E-376/2018 del 8 febbraio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 unter Vorbehalt von E. 2 - einzutreten.</w:t>
      </w:r>
    </w:p>
    <w:p>
      <w:r>
        <w:rPr>
          <w:b/>
        </w:rPr>
        <w:t>E. 2</w:t>
      </w:r>
    </w:p>
    <w:p>
      <w:r>
        <w:t>Da die Vorinstanz den Wegweisungsvollzug wegen derzeitiger Unzumutbarkeit zu Gunsten einer vorläufigen Aufnahme aufgeschoben hat und die Vollzugshindernisse alternativer Natur sind (vgl. BVGE 2009/51 E. 5.4), besteht entgegen den Ausführungen auf Beschwerdeebene kein schutzwürdiges Interesse an der Feststellung der Unzulässigkeit des Wegweisungsvollzugs. Auf den entsprechenden Eventualantrag ist daher nicht einzutreten.</w:t>
      </w:r>
    </w:p>
    <w:p>
      <w:r>
        <w:rPr>
          <w:b/>
        </w:rPr>
        <w:t>E. 3</w:t>
      </w:r>
    </w:p>
    <w:p>
      <w:r>
        <w:t>Die Kognition des Bundesverwaltungsgerichts und die zulässigen Rügen richten sich im Asylbereich nach Art. 106 Abs. 1 AsylG.</w:t>
      </w:r>
    </w:p>
    <w:p>
      <w:r>
        <w:rPr>
          <w:b/>
        </w:rPr>
        <w:t>E. 4</w:t>
      </w:r>
    </w:p>
    <w:p>
      <w:r>
        <w:t>Die Beschwerde erweist sich wie nachfolgend begründet als offensichtlich unbegründet und ist im Verfahren einzelrichterlicher Zuständigkeit mit Zustimmung eines zweiten Richters (Art. 111 Bst. e AsylG), ohne Weiterungen und mit summarischer Begründung zu behandeln (Art. 111a Abs. 1 und 2 AsylG).</w:t>
      </w:r>
    </w:p>
    <w:p>
      <w:r>
        <w:rPr>
          <w:b/>
        </w:rPr>
        <w:t>E. 5</w:t>
      </w:r>
    </w:p>
    <w:p>
      <w:r>
        <w:t>Wer um Asyl nachsucht, muss die Flüchtlingseigenschaft nachweisen oder zumindest glaubhaft machen (Art. 7 AsylG).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Die Vorinstanz gelangt in der angefochtenen Verfügung zum Schluss, die Vorbringen des Beschwerdeführers hielten den Anforderungen an die Flüchtlingseigenschaft nach Art. 3 AsylG nicht stand. Gemäss eigenen Aussagen sei der Beschwerdeführer dem Reservedienst zugeführt worden. Er könne sich indes nicht an ein Aufgebot für den Dienst erinnern. Diese Aussage werde durch den Eintrag im Militärdienstbüchlein untermauert. Eine Prüfung, ob er bei einem Verbleib in Syrien in den Reservedienst eingezogen worden wäre, könne indes offenbleiben. Zum Ausreisezeitpunkt habe er keine begründete Furcht vor asylrelevanten Verfolgungsmassnahmen im Sinne von Art. 3 AsylG gehabt. Die befürchtete Einziehung in den Reservedienst sei asylrechtlich nicht relevant. Daran änderten auch die von ihm eingereichten Dokumente - zwei Fotos von ihm im Militärdienst sowie das Militärdienstbüchlein - nichts, zumal diese die Einberufung in den Reservedienst nicht belegen könnten. Sodann würden sich keinerlei konkrete Hinweise ergeben, dass ihn die Regierungstruppen aufgrund der Fotos auf seinem Handy verfolgt hätten. Er habe selber erwähnt, seine Angst am Kontrollposten sei darin zu begründen gewesen, dass er sich davor gefürchtet habe, dem Krieg zugeführt zu werden. Weiter sei aufgrund der Tatsache, dass er in einem staatlichen Spital behandelt worden sei, anzunehmen, dass die Regierungstruppen die Möglichkeit gehabt hätten, ihn zu finden. Sodann sei in Bezug auf den Wachdienst für die PKK gemäss seinen Angaben nie etwas Spezielles vorgefallen. Bezüglich des (...) sei anzumerken, dass den Akten keine Hinweise zu entnehmen seien, wonach dieser ihn verfolgt habe. Schliesslich sei im Zusammenhang mit dem Vorfall am Kontrollposten davon auszugehen, dass auf ihn geschossen worden sei, weil er davongerannt sei. Den Akten seien keinerlei Hinweise zu entnehmen, dass er aufgrund seiner Rasse, Nationalität, Zugehörigkeit zu einer bestimmten sozialen Gruppe oder der politischen Anschauung verfolgt worden sei.</w:t>
      </w:r>
    </w:p>
    <w:p>
      <w:r>
        <w:rPr>
          <w:b/>
        </w:rPr>
        <w:t>E. 6.2</w:t>
      </w:r>
    </w:p>
    <w:p>
      <w:r>
        <w:t>In der Rechtsmitteleingabe macht der Beschwerdeführer geltend, trotz seinem Übertritt in den Reservedienst, habe er jederzeit davon ausgehen müssen, wieder in den aktiven Dienst einberufen zu werden. Seine Dienstpflicht sei noch nicht beendet. Er sei im (...) nur knapp einer Zwangsrekrutierung entgangen. Mit seiner Flucht vom Kontrollposten der syrischen Armee und der anschliessenden Ausreise aus Syrien habe er sich dem weiteren Kriegsdienst entzogen. Somit sei er - entgegen der Annahme der Vorinstanz - Militärdienstverweigerer, womit ihm eine längere Freiheitsstrafe drohe.</w:t>
      </w:r>
    </w:p>
    <w:p>
      <w:r>
        <w:rPr>
          <w:b/>
        </w:rPr>
        <w:t>E. 6.3</w:t>
      </w:r>
    </w:p>
    <w:p>
      <w:r>
        <w:t>In diesem Zusammenhang ist auf den Grundsatzentscheid BVGE 2015/3 vom 18. Februar 2015 zu verweisen: Darin kam das Bundesverwaltungsgericht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Im vorliegenden Fall liegt indessen keine vergleichbare Konstellation vor. Zwar gehört der Beschwerdeführer der kurdischen Ethnie an, entstammt jedoch gestützt auf die Aktenlage keiner oppositionell aktiven Familie und hat bislang die Aufmerksamkeit der staatlichen syrischen Sicherheitskräfte nur in Bezug auf sein Entziehen von einer Kontrolle auf sich gezogen. Diesbezüglich hat die Vorinstanz zutreffend ausgeführt, dass davon auszugehen ist, er sei nur angeschossen worden, weil er sich der Kontrolle entzogen habe und nicht aus einem Motiv gemäss Art. 3 AsylG. Sodann ist festzustellen, dass bezüglich des für die PKK geleisteten Wachdienstes gemäss Angaben des Beschwerdeführers nie etwas vorgefallen sei. Schliesslich handelt es sich bei der Befürchtung, der (...) habe seinen Namen den Behörden bekannt gegeben und er werde verhaftet, um eine rein subjektive Annahme des Beschwerdeführers. Weitergehend vermag der Beschwerdeführer mit dem ausführlichen Wiederholen des aktenkundigen Sachverhalts und den allgemeinen Ausführungen zum Wehrdienst in Syrien nicht darzulegen, inwiefern ihn die Vorinstanz zu Unrecht nicht als Flüchtling anerkannt hat. Um Wiederholungen zu vermeiden kann auf die zutreffenden Ausführungen in der angefochtenen Verfügung verwiesen werden. Es ist somit nicht davon auszugehen, dass der Beschwerdeführer im Falle einer heutigen (hypothetischen) Rückkehr in seine Heimat eine politisch motivierte Bestrafung oder Behandlung zu gewärtigen hätte, die einer flüchtlingsrechtlich relevanten Verfolgung im Sinne von Art. 3 AslyG gleichkommen würde. Die von ihm dahingehend geäusserte Verfolgungsfurcht erscheint somit unbegründet.</w:t>
      </w:r>
    </w:p>
    <w:p>
      <w:r>
        <w:rPr>
          <w:b/>
        </w:rPr>
        <w:t>E. 6.4</w:t>
      </w:r>
    </w:p>
    <w:p>
      <w:r>
        <w:t>Zusammenfassend ist festzuhalten, dass es dem Beschwerdeführer nicht gelungen ist, eine im Zeitpunkt der Ausreise aus Syrien bestehende oder unmittelbar drohende asylrelevante Verfolgung nachzuweisen oder glaubhaft zu machen.</w:t>
      </w:r>
    </w:p>
    <w:p>
      <w:r>
        <w:rPr>
          <w:b/>
        </w:rPr>
        <w:t>E. 7.1</w:t>
      </w:r>
    </w:p>
    <w:p>
      <w:r>
        <w:t>Der Beschwerdeführer macht weiter geltend, die illegale Ausreise und das Stellen eines Asylantrages im Ausland werde in Syrien als politische Opposition und Form der Regimekritik angesehen, womit subjektive Nachfluchtgründe vorliegen würden.</w:t>
      </w:r>
    </w:p>
    <w:p>
      <w:r>
        <w:rPr>
          <w:b/>
        </w:rPr>
        <w:t>E. 7.2</w:t>
      </w:r>
    </w:p>
    <w:p>
      <w:r>
        <w:t>Gemäss Praxis des Bundesverwaltungsgerichts führen weder eine illegale Ausreise aus Syrien noch das Stellen eines Asylgesuchs im Ausland bereits zur begründeten Furcht, bei einer Rückkehr in das Heimatland mit beachtlicher Wahrscheinlichkeit einer menschenrechtswidrigen Behandlung ausgesetzt zu werden. Der Beschwerdeführer war gemäss den vorstehenden Erkenntnissen im Zeitpunkt der Ausreise keiner Verfolgungssituation im Sinne von Art. 3 AsylG ausgesetzt und weist keine besondere Vorbelastung anderer Art auf, zumal er seinen Aussagen zufolge nicht politisch aktiv war. Vor diesem Hintergrund ist das Vorliegen konkreter Indizien für die Annahme einer begründeten Furcht vor künftiger Verfolgung im Sinne der Rechtsprechung (vgl. BVGE 2011/51 E. 6.2 sowie BVGE 2011/50 E. 3.1.1) auch in dieser Hinsicht zu verneinen. Daran vermag der Umstand nichts zu ändern, dass der Beschwerdeführer aufgrund seiner längeren Landesabwesenheit bei einer Wiedereinreise in Syrien wahrscheinlich einer allgemeinen Befragung durch die heimatlichen Behörden unterzogen würde. Es liegen somit keine subjektiven Nachfluchtgründe vor.</w:t>
      </w:r>
    </w:p>
    <w:p>
      <w:r>
        <w:rPr>
          <w:b/>
        </w:rPr>
        <w:t>E. 7.3</w:t>
      </w:r>
    </w:p>
    <w:p>
      <w:r>
        <w:t>Zusammenfassend konnte der Beschwerdeführer weder das Vorliegen von Fluchtgründen noch von subjektiven Nachfluchtgründen nachweisen oder zumindest glaubhaft machen. Die Vorinstanz hat deshalb die Flüchtlingseigenschaft des Beschwerdeführers zur Recht verneint und das Asylgesuch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demnach zu Recht angeordnet (Art. 44 AsylG; vgl. BVGE 2013/37 E. 4.4; 2009/50 E. 9, je m.w.H.).</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10.1</w:t>
      </w:r>
    </w:p>
    <w:p>
      <w:r>
        <w:t>Der Beschwerdeführer beantragt die unentgeltliche Prozessführung und die amtliche Verbeiständung. Aufgrund der vorstehenden Erwägungen ergibt sich, dass seine Begehren als aussichtslos zu gelten haben. Damit ist eine der kumulativ zu erfüllenden Voraussetzungen nicht gegeben, weshalb die Gesuche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