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E-3767/2006 vom 5. Januar 2009</w:t>
      </w:r>
    </w:p>
    <w:p>
      <w:r>
        <w:t>Bundesverwaltungsgericht, 2009-01-05, DE</w:t>
      </w:r>
    </w:p>
    <w:p>
      <w:r>
        <w:rPr>
          <w:b/>
        </w:rPr>
        <w:t xml:space="preserve">Quelle: </w:t>
      </w:r>
      <w:r>
        <w:t>https://mcp.opencaselaw.ch/entscheid/bvger_E-3767_2006</w:t>
      </w:r>
    </w:p>
    <w:p>
      <w:r>
        <w:t>FR: TAF E-3767/2006 du 5 janvier 2009</w:t>
      </w:r>
    </w:p>
    <w:p>
      <w:r>
        <w:t>IT: TAF E-3767/2006 del 5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(die beiden später nachgereisten Kinder sind in das Asylverfahren miteinzubeziehen) sind durch die angefochtene Verfügung berührt und haben ein schutzwürdiges Interesse an deren Aufhebung beziehungsweise Änderung. Sie sind daher zur Ein-reichung der Beschwerde legitimiert (Art. 108 Abs. 1 und 6 AsylG i.V.m. Art. 48 Abs.1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dass die Beschwerdeführerin nicht in der Lage gewesen sei, Gründe für ihre angebliche Verfolgung anzugeben. Trotz mehrmaligen Nachfragens habe sie ausser der Behauptung, ihr Mann habe für das Militär fahren müssen und sie selber sei gezwungen worden, mit (...), keine konkreten Anhaltspunkte für eine Verfolgung angeben können. So sei beispielsweise die Beschreibung der Chauffeurdienste ihres Ehemannes sehr vage ausgefallen. Die Beschwerdeführerin habe trotz mehrerer diesbezüglicher Fragen auch nicht detailliert über die erlittenen Benachteiligungen berichten können. Zudem sei die Darstellung des eigenen Verhaltens und dasjenige ihres Ehemannes sehr allgemein ausgefallen. Auch habe sie ihre während Monaten und Jahren gezeigte Passivität nicht schlüssig erklären können. Sodann habe sie die angeblich regelmässigen (...) Übergriffe seitens der Soldaten nicht anschaulich schildern können. Auch unter Berücksichtigung der Schwere und persönlichen Tragweite, welche eine (...) für eine Frau bedeute, würden die diesen Sachverhalt betreffenden Ausführungen rudimentär und abstrakt wirken. So habe sie Fragen zu ihrer damaligen Wahrnehmung sowie ihren Emotionen nur pauschal beantworten können, weshalb ihre diesbezüglichen Schilderungen nicht erlebt wirken würden. Auch wenn sich Frauen nicht zum eigentlichen Tathergang äussern wollten oder könnten, seien sie erfahrungsgemäss zu einer differenzierten und anschaulichen Darstellung ihrer inneren Befindlichkeit imstande, die sich nebst den allgemein bekannten Reaktionen von Gewaltopfern durch Aussagen auszeichnen würden, die von einer subjektiven Sichtweise geprägt seien. Gesamthaft betrachtet würden vorliegend sowohl Anzeichen einer persönlichen Betroffenheit als auch Hinweise auf hervorgerufene psychische Reaktionen oder einen vorhandenen Leidensdruck, welche erfahrungsgemäss bei derartigen Vorbringen zu erwarten wären, fehlen. Des Weiteren seien auch die Antworten der Beschwerdeführerin in Bezug auf die von ihrem Ehemann gezeigten Reaktionen, als er selber Zeuge (...) geworden sein soll, stereotyp und allgemein ausgefallen. Diese Erwägungen würden durch die widersprüchliche Darstellung der Ereignisse in zeitlicher Hinsicht bekräftigt. Ferner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in ihrem Heimatstaat herrschende politische Si- tuation noch andere Gründe würden gegen die Zumutbarkeit der Rückführung in den Heimatstaat sprechen. Ausserdem sei der Vollzug der Wegweisung technisch möglich und praktisch durchführbar.</w:t>
      </w:r>
    </w:p>
    <w:p>
      <w:r>
        <w:rPr>
          <w:b/>
        </w:rPr>
        <w:t>E. 3.2</w:t>
      </w:r>
    </w:p>
    <w:p>
      <w:r>
        <w:t>In der Beschwerde wird der Argumentation der Vorinstanz Folgendes entgegengehalten: Vorweg gelte es darauf hinzuweisen, dass es der Beschwerdeführerin verständlicherweise nicht leicht gefallen sei, über die (...) Misshandlungen zu reden. Es werde generell die Auffassung vertreten, dass der Rahmen von Asylbefragungen für das Schildern einer Asylbegründung wie der vorliegenden nicht geeignet sei und dass die SachbearbeiterInnen des BFF mangels einer fachärztlichen Ausbildung nicht in der Lage seien, die Glaubwürdigkeit von derart heiklen, häufig mit (...) verbundenen und nahezu unvorstellbaren Geschehnissen zu beurteilen. Aus diesem Grunde wäre zwangsläufig eine fachärztliche Begutachtung indiziert gewesen. Ein Widerspruch in wesentlichen Punkten sei entgegen der Ansicht der Vorinstanz nicht ersichtlich. Aufgrund des summarischen Charakters der Empfangsstellen-Befragungen sowie der bekanntlich gedrückten Atmosphäre könne es nicht angehen, dass den Empfangsstellen-Protokollen bei der Beurteilung der Glaubwürdigkeit eine derart überragende Bedeutung eingeräumt werde. Die Wahrscheinlichkeit, Opfer einer Reflexverfolgung zu werden, sei nach der Rechtsprechung vor allem gegeben, wenn nach einem flüchtigen Familienmitglied gefahndet werde und die Behörde Anlass zur Vermutung habe, dass jemand mit dem Gesuchten in engem Kontakt stehe. Obwohl die Beschwerdeführerin anlässlich der Empfangsstellen-Befragung nachweislich alle ihre Verwandten genannt habe, welche in der Schweiz oder in Deutschland - teils als anerkannte Flüchtlinge - leben würden, sei diese wesentliche Tatsache beim angefochtenen Entscheid völlig unberücksichtigt geblieben. Im Eventualantrag würden die Beschwerdeführenden die vorläufige Aufnahme beantragen, da eine Wegweisung für sie unzumutbar sei. Obwohl in den überwiegend kurdischen Gebieten der Türkei der Ausnahmezustand aufgehoben worden sei, seien in der Praxis in tatsächlicher Hinsicht keine wesentlichen Verbesserungen zu verzeichnen. Im Falle der Rückschaffung würde die Beschwerdeführerin somit direkten Gefahren ausgesetzt.</w:t>
      </w:r>
    </w:p>
    <w:p>
      <w:r>
        <w:rPr>
          <w:b/>
        </w:rPr>
        <w:t>E. 3.3</w:t>
      </w:r>
    </w:p>
    <w:p>
      <w:r>
        <w:t>Mit Schreiben vom 24. November 2004 hat der Instruktionsrichter der ARK den Beschwerdeführenden mitgeteilt, dass eine Anfrage bei der Schweizer Botschaft in Ankara ergeben habe, dass die Abklärungen die Vorbringen der Beschwerdeführerin betreffend die angeblichen Übergriffe von Soldaten im Dorf (...) entkräften würden. Sowohl der Vorsteher des Dorfes als auch der Beschwerdeführerin nahestehende Personen hätten den Sachverhalt in anderer Weise dargestellt. In Wirklichkeit sei sie vor über einem Jahr als Folge der Trennung von ihrem angeblich gewalttätigen Ehemann zu ihren Eltern zurückgekehrt. Er leide an (...) sowie an einer krankhaften (...). Er habe seine Ehefrau (...). Die Soldaten hätten auf Ersuchen der Eltern mehrmals interveniert, um sie zu schützen. Im Weiteren sei festgestellt worden, dass der Vater der Beschwerdeführerin diese vor ungefähr einem Jahr nach Deutschland gebracht habe. Sie habe sich anschliessend zu ihren Brüdern und Schwestern in die Schweiz begeben. Die Kinder seien später nachgekommen. Gemäss einer der Beschwerdeführerin nahestehenden Person seien die Eltern der Ansicht, dass sie ihre Sicherheit infolge des (...) des Ehemannes nicht länger hätten garantieren können. Der Mann der Beschwerdeführerin sei nicht verschwunden; er lebe bei seiner Grossmutter im Dorf (...). Von Zeit zu Zeit halte er sich auch in (...) bei einer Tante oder in (...) bei seinen Eltern auf.</w:t>
      </w:r>
    </w:p>
    <w:p>
      <w:r>
        <w:rPr>
          <w:b/>
        </w:rPr>
        <w:t>E. 3.4</w:t>
      </w:r>
    </w:p>
    <w:p>
      <w:r>
        <w:t>In ihrer Stellungnahme vom 8. Dezember 2004 äusserten sich die Beschwerdeführenden zur vorgenannten Botschaftsantwort folgendermassen: Vorweg werde auf einen formellen Mangel hingewiesen, der das Ver-trauen der Beschwerdeführerin in die Schweizer Behörden schwer verletzt habe. So sei ihr anlässlich der Anhörung des BFF vom 21. Januar 2004 versichert worden, dass sie sicher sein könne, dass nichts, was sie im Laufe ihres Asylverfahrens vorbringen werde, ihren heimatlichen Behörden zur Kenntnis gelangen würde. Es sei jedoch festgestellt worden, dass im Schreiben vom 17. März 2004 an die Schweizer Botschaft in Ankara nicht nur Fragen zur Überprüfung des Wahrheitsgehalts, sondern auch eine genaue Darstellung des Sachverhalts aufgeführt worden sei. Weiter sei eine Überprüfung des Wahrheitsgehaltes der Aussagen aufgrund der Anonymität der Auskunftspersonen nicht möglich. Die Beweggründe für solche Aussagen könnten überhaupt nicht nachvollzogen werden und seien daher von vornherein in Frage zu stellen. Ausserdem sei zu beachten, dass es den Eltern der Beschwerdeführerin nicht möglich gewesen sei, von den schwerwiegenden Übergriffen der Soldaten zu erzählen, da sie sonst mit Vergeltung hätte rechnen müssen. Der Dorfvorsteher unterhalte regen Kontakt mit den Soldaten, weshalb seine Aussagen als nicht verwertbar betrachtet werden müssten.</w:t>
      </w:r>
    </w:p>
    <w:p>
      <w:r>
        <w:rPr>
          <w:b/>
        </w:rPr>
        <w:t>E. 4.1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Gesuchsteller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4.2</w:t>
      </w:r>
    </w:p>
    <w:p>
      <w:r>
        <w:t>Die ARK hat in einem Grundsatzentscheid festgehalten, dass der Befragung zu den Ausreisegründen in der Empfangsstelle aufgrund des summarischen Charakters für die Beurteilung der Glaubwürdigkeit der vorgebrachten Asylgründe nur ein beschränkter Beweiswert zukommt (vgl. EMARK 1993 Nr. 3 S. 13). Angesichts des summarischen Charakters kann es nicht angehen, blossen Unvollständigkeiten und unwesentlichen Abweichungen zu den späteren Aussagen eine entscheidende Bedeutung beizumessen. Es darf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den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zu berücksichtigen sein sollten.</w:t>
      </w:r>
    </w:p>
    <w:p>
      <w:r>
        <w:rPr>
          <w:b/>
        </w:rPr>
        <w:t>E. 4.3</w:t>
      </w:r>
    </w:p>
    <w:p>
      <w:r>
        <w:t>Vorweg ist der pauschalen Behauptung, wonach die Sach-bearbeiterinnen und Sachbearbeiter der Vorinstanz mangels einer fachärztlichen Ausbildung nicht in der Lage seien, die Glaubwürdigkeit von heiklen, häufig mit grosser (...) verbundenen Geschehnissen - wie einer (...) - zu beurteilen, entschieden zu widersprechen, zumal bei der massgeblichen Anhörung vom 21. Januar 2004 ausschliesslich Frauen anwesend waren (vgl. in diesem Zusammenhang die später festgehaltene Praxis der ARK in EMARK 2003 Nr. 2, wonach bei vorliegen konkreter Hinweise auf eine geschlechtsspezifische Verfolgung der oder die Asylsuchende von einer Person des gleichen Geschlechts angehört werden muss, was von Amtes wegen zu beachten ist). Hinzu kommt vorliegend, dass die anlässlich der direkten Bundesanhörung anwesende Hilfswerks-vertreterin keinerlei Einwände der Beschwerdeführerin im entsprechenden Protokoll vermerkt hat.</w:t>
      </w:r>
    </w:p>
    <w:p>
      <w:r>
        <w:rPr>
          <w:b/>
        </w:rPr>
        <w:t>E. 4.4</w:t>
      </w:r>
    </w:p>
    <w:p>
      <w:r>
        <w:t>Weiter geht der Einwand der Beschwerdeführenden ins Leere, wonach mit dem Schreiben der ARK vom 17. März 2004 an die Schweizer Botschaft in Ankara die Verschwiegenheitspflicht verletzt worden wäre. So handelt es sich bei einer schweizerischen Vertretung im Ausland (vgl. Art. 41 AsylG) um eine Behörde, so dass das BFM oder - wie vorliegend geschehen - die Beschwerdeinstanz diejenigen Informationen weiterleiten darf, welche zur Abklärung des relevanten Sachverhalts notwendig sind. Anderenfalls würde eine Botschaftsanfrage keinen Sinn ergeben.</w:t>
      </w:r>
    </w:p>
    <w:p>
      <w:r>
        <w:rPr>
          <w:b/>
        </w:rPr>
        <w:t>E. 4.5</w:t>
      </w:r>
    </w:p>
    <w:p>
      <w:r>
        <w:t>Das Bundesverwaltungsgericht schliesst sich der Ansicht der Vorinstanz an, wonach die von der Beschwerdeführerin vorgebrachte (...) durch Soldaten nicht glaubhaft erscheint. So ist zunächst festzuhalten, dass die Abklärungen der Schweizer Botschaft in Ankara ihre Vorbringen betreffend die angeblichen Übergriffe von Soldaten im Dorf (...) entkräften. Weiter ist aus den Akten ersichtlich, dass sie sich erst nach Erhalt des negativen Entscheids des BFM vom 27. Januar 2004 in ärztliche Behandlung begeben hat. Sodann werden die Angaben der Beschwerdeführerin auch von ihrem Ehemann nicht bestätigt. Weder anlässlich seiner Befragung im Empfangszentrum Basel vom 27. Januar 2005 noch der direkten Bundesanhörung vom 3. Februar 2005 erwähnte er etwas von den angeblichen Chauffeurdiensten für die Soldaten. Auch machte er keine Ausführungen zu den von der Beschwerdeführerin vorgebrachten (...) durch Soldaten beziehungsweise äusserte er sich anlässlich der Anhörung einzig dahingehend, dass auch seine Frau durch das Militär belästigt worden sei. Schliesslich ist festzuhalten, dass ihre Schilderungen zu den besagten (...) sehr allgemein ausgefallen sind und kaum spezifische Details enthalten, welche darauf schliessen lassen würden, dass sie die Vorbringen tatsächlich erlebt hätte. So führte sie auf die Frage nach der Reaktion ihres Ehemannes beispielsweise lediglich aus, er habe alles verloren. Sodann weist auch das von ihr geschilderte Kerngeschehen keine auf Glaubhaftigkeit schliessenden Besonderheiten auf, sondern führt lediglich einen detailarmen und allgemein zutreffenden Ablauf des Geschehens an: Die Männer hätten sie küssen wollen, sie habe geschrien, Schimpfwörter gesagt und Widerstand geleistet. Schliesslich erscheint das angebliche Verhalten der Dorfbewohner übertrieben und realitätsfremd. Zur Vermeidung von Wiederholungen kann diesbezüglich auf die zutreffenden Erwägungen der Vorinstanz verwiesen werden. Schliesslich bleibt anzufügen, dass vorliegend aus den Akten keinerlei Hinweise auf eine mögliche Reflexverfolgung der Beschwerdeführenden hervorgehen. Insgesamt besehen ist es somit unwahrscheinlich, dass sich die Geschehnisse in der Art und Weise zugetragen haben, wie von der Beschwerdeführerin behauptet, vielmehr ist wohl das private Umfeld - schwerwiegende Probleme mit dem Ehemann - ursächlich für die Ausreise aus der Türkei. Das Bundesamt hat daher das Asylgesuch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ihren Heimatstaat ist demnach unter dem Aspekt von Art. 5 AsylG rechtmässig. Sodann ergeben sich weder aus den Aussagen der Beschwerdeführenden noch aus den Akten Anhaltspunkte dafür, dass sie für den Fall einer Ausschaffung in ihren Heimatstaat dort mit beachtlicher Wahrscheinlichkeit einer nach Art. 3 EMRK oder Art. 1 FoK verbotenen Strafe oder Behandlung ausgesetzt wären. Gemäss Praxis des EGMR und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auch wenn sie nicht in allen Belangen zu befriedigen vermag,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Angesichts der heutigen Lage in der Türkei kann nicht von einer Situation allgemeiner Gewalt oder von kriegerischen oder bürger-kriegsähnlichen Verhältnissen gesprochen werden, welche für die Beschwerdeführenden bei einer Rückkehr eine konkrete Gefährdung darstellen würde (vgl. die weiterhin zutreffende Lagebeurteilung in EMARK 2004 Nr. 8). Eigenen Angaben zufolge leben die Eltern der Beschwerdeführerin nach wie vor in der Türkei. Die Beschwerdeführenden verfügen folglich in ihrem Heimatstaat über ein soziales Beziehungsnetz und werden für die wirtschaftliche Reintegration auf die Unterstützung ihrer Familie zählen können. Zudem ist die Dauer ihres Aufenthalts in der Schweiz nicht übermässig lang, und jedenfalls kann von einer Integration nicht die Rede sein. Es sind somit auch keine persönlichen Gründe ersichtlich, die gegen die Rückkehr sprechen. Nach dem Gesagten erweist sich der Vollzug der Wegweisung auch als zumutbar, zumal die in den beiden eingereichten Arztzeugnissen aufgeführten psychischen Probleme im Zusammenhang mit den damaligen (...) des früheren Ehemannes beziehungsweise Vaters standen, welche Befürchtungen mithin nach der zwischenzeitlich erfolgten Trennung und Scheidung nunmehr weggefallen sein dürften.</w:t>
      </w:r>
    </w:p>
    <w:p>
      <w:r>
        <w:rPr>
          <w:b/>
        </w:rPr>
        <w:t>E. 6.6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den Beschwerdeführenden aufzuerlegen (Art. 63 Abs. 1 und 5 VwVG). Nachdem aber aufgrund der Aktenlage von der Bedürftigkeit der Beschwerdeführenden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