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E-3759/2012 vom 24. Juli 2012</w:t>
      </w:r>
    </w:p>
    <w:p>
      <w:r>
        <w:t>Bundesverwaltungsgericht, 2012-07-24, DE</w:t>
      </w:r>
    </w:p>
    <w:p>
      <w:r>
        <w:rPr>
          <w:b/>
        </w:rPr>
        <w:t xml:space="preserve">Quelle: </w:t>
      </w:r>
      <w:r>
        <w:t>https://mcp.opencaselaw.ch/entscheid/bvger_E-3759_2012</w:t>
      </w:r>
    </w:p>
    <w:p>
      <w:r>
        <w:t>FR: TAF E-3759/2012 du 24 juillet 2012</w:t>
      </w:r>
    </w:p>
    <w:p>
      <w:r>
        <w:t>IT: TAF E-3759/2012 del 24 luglio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6. Juli 2012 fest, dass der Abgleich der Fingerabdrücke mit der Zentraleinheit Eurodac nachgewiesen habe, dass der Beschwerdeführer am 17. August 2011 in Italien ein Asylgesuch eingereicht hatte und die italienischen Behörden innerhalb der festgelegten Frist zum Übernahmeersuchen des BFM keine Stellung genommen hätten. Die Zuständigkeit zur Durchführung des Asyl- und Wegweisungsverfahrens liege deshalb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bei Italien.</w:t>
      </w:r>
    </w:p>
    <w:p>
      <w:r>
        <w:rPr>
          <w:b/>
        </w:rPr>
        <w:t>E. 3.3</w:t>
      </w:r>
    </w:p>
    <w:p>
      <w:r>
        <w:t>Der Beschwerdeführer macht geltend, dass er nicht mehr nach Italien zurückgehen wolle, weil er dort auf der Strasse schlafen müsse und keine Arbeit gefunden habe.</w:t>
      </w:r>
    </w:p>
    <w:p>
      <w:r>
        <w:rPr>
          <w:b/>
        </w:rPr>
        <w:t>E. 3.4</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 Nach Art. 3 Abs. 2 Dublin-II-VO kann die Schweiz ein Asylgesuch prüfen, auch wenn sie nach den in dieser Verordnung vorgesehenen Kriterien nicht für die Prüfung zuständig ist, um ihren Verpflichtungen aus dem nationalen und internationalen Recht nachzukommen.</w:t>
      </w:r>
    </w:p>
    <w:p>
      <w:r>
        <w:rPr>
          <w:b/>
        </w:rPr>
        <w:t>E. 3.5</w:t>
      </w:r>
    </w:p>
    <w:p>
      <w:r>
        <w:t>Art. 3 Abs. 2 Dublin-II-VO ist jedoch nicht direkt anwendbar, sondern nur in Verbindung mit einer anderen Norm des nationalen oder internationalen Rechts anrufbar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Italien ist Signatarstaat der FK, EMRK und FoK und es bestehen keine konkreten Hinweise dafür, dass sich Italien nicht an die daraus resultierenden Verpflichtungen hält. Der Beschwerdeführer substantiiert in keiner Weise, dass sein Asylgesuch nicht sorgfältig geprüft werde bzw. die angefochtene Verfügung zu beanstanden sein soll, und solches ist auch nicht anzunehmen. Die Vorinstanz ist demnach zu Recht in Anwendung von Art. 34 Abs. 2 Bst. d AsylG auf das Asylgesuch nicht eingetreten.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6</w:t>
      </w:r>
    </w:p>
    <w:p>
      <w:r>
        <w:t>Nach dem Gesagten ergibt sich, dass die angefochtene Verfügung Bundesrecht nicht verletzt und auch sonst nicht zu beanstanden ist (vgl. Art. 106 Abs. 1 AsylG). Die Beschwerde ist abzuweisen.</w:t>
      </w:r>
    </w:p>
    <w:p>
      <w:r>
        <w:rPr>
          <w:b/>
        </w:rPr>
        <w:t>E. 7</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