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E-3757/2006 vom 4. Dezember 2008</w:t>
      </w:r>
    </w:p>
    <w:p>
      <w:r>
        <w:t>Bundesverwaltungsgericht, 2008-12-04, FR</w:t>
      </w:r>
    </w:p>
    <w:p>
      <w:r>
        <w:rPr>
          <w:b/>
        </w:rPr>
        <w:t xml:space="preserve">Quelle: </w:t>
      </w:r>
      <w:r>
        <w:t>https://mcp.opencaselaw.ch/entscheid/bvger_E-3757_2006</w:t>
      </w:r>
    </w:p>
    <w:p>
      <w:r>
        <w:t>FR: TAF E-3757/2006 du 4 décembre 2008</w:t>
      </w:r>
    </w:p>
    <w:p>
      <w:r>
        <w:t>IT: TAF E-3757/2006 del 4 dicembre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qui étaient pendants au 31 décembre 2006 devant l'ancienne Commission suisse de recours en matière d'asile, sont également traités depuis le 1er janvier 2007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Le recourant a qualité pour recourir (art. 48 PA). Présenté dans la forme (art. 52 PA) et le délai (art. 50 PA, dans sa version en vigueur lors du dépôt du recours) prescrits par la loi, son recours est recevable.</w:t>
      </w:r>
    </w:p>
    <w:p>
      <w:r>
        <w:rPr>
          <w:b/>
        </w:rPr>
        <w:t>E. 1.4</w:t>
      </w:r>
    </w:p>
    <w:p>
      <w:r>
        <w:t>Le Tribunal estime qu'il ne se justifie pas, en l'occurrence, de statuer en un seul et même arrêt sur les recours de l'intéressé et de ses parents, dès lors qu'il est majeur et qu'il fait valoir des motifs d'asile personnels. Ses parents comme son frère font l'objet ce jour de prononcés distincts.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rejeté la demande d'asile du recourant au motif que ce dernier n'avait pas subi, dans son pays d'origine, de sérieux préjudices, déterminants pour la reconnaissance de sa qualité de réfugié. Le recourant a en effet allégué avoir été interpellé quelquefois par la police durant son séjour à l'université, en raison de sa participation à la récolte de signatures en faveur de l'enseignement en langue kurde, mais il n'a pas déclaré avoir été victime de sérieux préjudices, au sens de l'art. 3 LAsi. Le recourant ne conteste pas cette appréciation. En revanche, il fait valoir que, contrairement à ce qu'a retenu l'ODM, sa crainte de subir des persécutions déterminantes en matière d'asile en cas de retour dans son pays d'origine, en raison de son appartenance ethnique et familiale et de ses opinions politiques, est fondée. Il en veut pour preuve les mauvais traitements infligés à son père, qui ont précipité leur départ de Turquie.</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3.3</w:t>
      </w:r>
    </w:p>
    <w:p>
      <w:r>
        <w:t>Le recourant estime que les mauvais traitements infligés à son père B._______ constituent un indice permettant d'affirmer qu'en cas de retour dans son pays d'origine il serait, lui aussi, exposé à de sérieux préjudices. Ce dernier a allégué avoir été à de très nombreuses reprises amené au poste par la police à E._______ et interrogé sur les membres de sa parenté, ainsi que sur les personnes qui fréquentaient son magasin. Les policiers le soupçonnaient de soutenir la guérilla. Ils l'ont accusé d'héberger des terroristes, en particulier parce que sa nièce,(...), avait logé quelque temps chez lui. Le (...) septembre 2003, il a été emmené par des policiers en civil dans un endroit isolé et violemment frappé. Ces mauvais traitements lui ont laissé des séquelles physiques et psychiques dont il souffre encore à l'heure actuelle. La police ne s'en est toutefois pas prise à ses fils, notamment au recourant qui était, à l'époque, âgé de (...) ans. Cela démontre qu'elle n'avait pas les mêmes raisons de le soupçonner. S'il s'était agi uniquement d'obtenir des renseignements sur des cousins ou d'exercer des représailles sur une famille d'opposants, elle aurait probablement interpellé, à l'occasion, également ses fils. Il apparaît plutôt que le père du recourant faisait l'objet de soupçons en raison de sa situation sociale, du nombre de personnes qui fréquentaient son magasin, des contacts qu'il pouvait avoir dans ses déplacements et encore de sa situation financière qui pouvait lui permettre de soutenir la guérilla. Cela dit, il convient effectivement de se demander si, en raison des événements intervenus depuis lors, le recourant a des raisons objectives de craindre une persécution réfléchie.</w:t>
      </w:r>
    </w:p>
    <w:p>
      <w:r>
        <w:rPr>
          <w:b/>
        </w:rPr>
        <w:t>E. 3.4</w:t>
      </w:r>
    </w:p>
    <w:p>
      <w:r>
        <w:t>La Turquie a procédé à plusieurs réformes législatives durant ces dernières années dans l'optique d'une adhésion à l'Union européenne. Il subsiste cependant des déficits importants dans leur mise en oeuvre, spécialement en matière de procédures conformes à un Etat de droit et de respect des droits humains, pour des raisons tenant aux mentalités et en fonction, également, des tensions sur le plan sécuritaire. Cela étant, la jurisprudence considère que tout risque de persécution réfléchie contre des membres de la famille d'activistes présumés du PKK (ou des organisations qui lui ont succédé, d'autres organisations séparatistes kurdes ou de mouvements considérés comme hostiles à l'Etat turc), ne peut être exclu dans ce pays. On note cependant depuis 2001 une baisse du nombre de cas de persécution réfléchie, celle-ci intervenant de manière moins systématique que par le passé, et une certaine réduction de la gravité des mesures prises, en particulier une diminution des cas de torture ou de mauvais traitements. Les autorités turques n'ont pas, en ce domaine, de manière d'agir standardisée. Dans ce contexte, il convient d'apprécier l'existence et l'intensité du risque de persécution réfléchie surtout en fonction des circonstances du cas d'espèce. A cet égard, il y a lieu de prendre en compte que ces mesures n'ont pas nécessairement pour but l'obtention de renseignements (par exemple sur le lieu de séjour d'un activiste), mais qu'elles peuvent également viser des personnes qui s'engagent ouvertement en faveur de leurs proches, par exemple dans le cadre d'une procédure auprès de la Cour européenne des droits de l'homme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JICRA 2005 n° 21 p. 184ss consid. 10.2.3). Sur la base des informations dont il dispose, le Tribunal n'a pas de raison, actuellement, de considérer cette jurisprudence comme obsolète. II souligne toutefois qu'il s'agit, dans chaque cas particulier, d'apprécier le risque de persécution réfléchie en fonction non seulement du degré de parenté, mais encore d'autres éléments concrets (antécédents policiers ou judiciaires, activités à connotation politique de la personne visée par un risque de persécution réfléchie, profil du proche activiste particulièrement exposé ou intensément recherché, contacts supposés avec celui-ci ou avec l'organisation antinationale en cause, degré de dangerosité de l'organisation en cause, réputation politique de la famille dépassant le niveau local, etc. ) qui pourraient fonder objectivement une crainte plus spécifique d'agissements des autorités à l'encontre des membres de la famille.</w:t>
      </w:r>
    </w:p>
    <w:p>
      <w:r>
        <w:rPr>
          <w:b/>
        </w:rPr>
        <w:t>E. 3.5</w:t>
      </w:r>
    </w:p>
    <w:p>
      <w:r>
        <w:t>En ce qui concerne la situation particulière du recourant, le Tribunal retient ce qui suit: Le fait que nombre de ses "cousins" aient été reconnus comme réfugiés ou sont connus comme des opposants du régime ne suffit pas à démontrer un risque de persécution contre le recourant. Son patronyme est très répandu en Turquie et, en particulier, dans sa région d'origine et il n'a pas démontré qu'il s'agissait - à part son oncle paternel, dont la condamnation remonte toutefois à plusieurs années - de parents proches, notamment de cousins germains ou de personnes avec lesquelles il aurait eu des contacts particuliers. Cela dit, son propre père a fait l'objet de sérieux préjudices et s'est vu notamment reprocher d'avoir hébergé des terroristes du PKK et interroger sur sa nièce, (...). Ses liens familiaux avec des personnes proches du PKK, la présence de nombreux parents à l'étranger, parmi lesquels plusieurs ont habité E._______, doublés des soupçons nourris à l'encontre de son père, sont autant d'éléments qui pourraient amener les autorités à suspecter le recourant, d'autant qu'il a quitté E._______ à l'époque où il avait interrompu ses études à la suite des problèmes rencontrés dans le cadre de la récolte de signatures pour l'enseignement en kurde. Il pourrait ainsi être soupçonné d'avoir lui-même rejoint la guerilla. Du fait que le recourant n'a pas accompli son service militaire, il n'a pratiquement aucune chance, en retournant dans son pays d'origine, d'échapper à un contrôle des autorités ; il risque par conséquent qu'un contrôle policier à son arrivée à l'aéroport ou à l'occasion d'autres démarches administratives ou militaires débouche sur des recherches au lieu de son précédent domicile et donc que son retour parvienne à la connaissance des personnes qui s'en étaient prises à son père et qui pourraient avoir des motifs particuliers de le soumettre à des mesures de pression, cas échéant violentes, par exemple pour éviter toute dénonciation. Dans ces conditions, il y a lieu de conclure à l'existence d'une crainte objectivement fondée de préjudices déterminants au regard de l'art. 3 LAsi. Pour la même raison, on ne peut considérer qu'il dispose d'une possibilité de refuge interne en Turquie, dans une région autre que celle constituée par la ville et les alentours de E._______ où il est né et a vécu jusqu'à son départ pour la Suisse (cf. JICRA 1998 no 1 p. 1ss).</w:t>
      </w:r>
    </w:p>
    <w:p>
      <w:r>
        <w:rPr>
          <w:b/>
        </w:rPr>
        <w:t>E. 3.6</w:t>
      </w:r>
    </w:p>
    <w:p>
      <w:r>
        <w:t>Au vu de ce qui précède, la qualité de réfugié doit être reconnue au recourant. Le dossier ne fait apparaître aucun élément susceptible de constituer un motif d'exclusion de la qualité de réfugié au sens de l'art. 1 F de la Convention du 28 juillet 1951 relative au statut des réfugiés (Conv. réfugiés, RS 0.142.30).</w:t>
      </w:r>
    </w:p>
    <w:p>
      <w:r>
        <w:rPr>
          <w:b/>
        </w:rPr>
        <w:t>E. 4</w:t>
      </w:r>
    </w:p>
    <w:p>
      <w:r>
        <w:t>Par ailleurs, le dossier ne fait pas non plus apparaître d'éléments constitutifs d'un motif d'indignité, au sens de l'art. 53 LAsi. Partant, le recours doit être admis, la décision du 9 juin 2004 annulée et le dossier renvoyé à l'ODM afin qu'il reconnaisse la qualité de réfugié du recourant et lui octroie l'asile.</w:t>
      </w:r>
    </w:p>
    <w:p>
      <w:r>
        <w:rPr>
          <w:b/>
        </w:rPr>
        <w:t>E. 5</w:t>
      </w:r>
    </w:p>
    <w:p>
      <w:r>
        <w:t>Vu l'issue de la procédure, il n'est pas perçu de frais (art. 63 al. 1 PA).</w:t>
      </w:r>
    </w:p>
    <w:p>
      <w:r>
        <w:rPr>
          <w:b/>
        </w:rPr>
        <w:t>E. 6</w:t>
      </w:r>
    </w:p>
    <w:p>
      <w:r>
        <w:t>Le recourant ayant obtenu gain de cause, il y a lieu de lui accorder des dépens en application de l'art. 64 al. 1 PA et des art. 7ss FITAF. Ceux-ci sont fixés à Fr. 1045.-, au vu du décompte de prestations du mandataire du recourant, du 5 novembre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