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E-3748/2012 vom 20. Februar 2013</w:t>
      </w:r>
    </w:p>
    <w:p>
      <w:r>
        <w:t>Bundesverwaltungsgericht, 2013-02-20, DE</w:t>
      </w:r>
    </w:p>
    <w:p>
      <w:r>
        <w:rPr>
          <w:b/>
        </w:rPr>
        <w:t xml:space="preserve">Quelle: </w:t>
      </w:r>
      <w:r>
        <w:t>https://mcp.opencaselaw.ch/entscheid/bvger_E-3748_2012</w:t>
      </w:r>
    </w:p>
    <w:p>
      <w:r>
        <w:t>FR: TAF E-3748/2012 du 20 février 2013</w:t>
      </w:r>
    </w:p>
    <w:p>
      <w:r>
        <w:t>IT: TAF E-3748/2012 del 20 febbraio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unlängst dargelegt und folgt dabei ständiger Praxis (vgl. statt vieler BVGE 2010/57 E. 2.2 und 2.3).</w:t>
      </w:r>
    </w:p>
    <w:p>
      <w:r>
        <w:rPr>
          <w:b/>
        </w:rPr>
        <w:t>E. 3.3</w:t>
      </w:r>
    </w:p>
    <w:p>
      <w:r>
        <w:t>Die Vorinstanz hat den Massstab des Glaubhaftmachens nach Art. 7 AsylG auf den vorliegenden Fall korrekt angewendet. Sie begründet in der angefochtenen Verfügung einlässlich, weshalb die Vorbringen widersprüchlich ausfielen, der Beschwerdeführer die Widersprüche auch auf Nachfrage hin nicht ausräumen konnte und die eingereichten Beweismittel sich als untauglich erwiesen, einen asylrelevanten Sachverhalt glaubhaft zu machen. Der Beschwerdeführer setzt sich damit mit keinem Wort auseinander. Seine Vorbringen erschöpfen sich vielmehr in einer allgemeinen Kritik an der Regierung Venezuelas, die es ihm verunmögliche "als Bürger ein normales Leben zu führen" (Beschwerde, S. 2). Eine persönliche Gefährdungssituation legt er nicht dar. Er zeigt nicht ansatzweise auf, inwieweit die vorinstanzliche Beweiswürdigung Bundesrecht verletzen oder zu einer fehlerhaften Sachverhaltsfeststellung führen soll, was auch nicht ersichtlich ist. Der Beschwerdeführer hat somit nichts vorgebracht, was geeignet wäre, seine Flüchtlingseigenschaft nachzuweisen oder zumindest glaubhaft zu machen. Die Vorinstanz hat das Asylgesuch zu Recht abgelehnt.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Der Vollzug der Wegweisung ist nach Art. 83 Abs. 3 des Bundesgesetzes vom 16. Dezember 2005 über die Ausländerinnen und Ausländer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nach Venezuela dort mit beachtlicher Wahrscheinlichkeit einer nach Art. 3 EMRK oder Art. 1 FoK verbotenen Strafe oder Behandlung ausgesetzt wäre. Der Vollzug der Wegweisung ist somit zulässig.</w:t>
      </w:r>
    </w:p>
    <w:p>
      <w:r>
        <w:rPr>
          <w:b/>
        </w:rPr>
        <w:t>E. 5.2</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Venezuela herrscht keine Situation allgemeiner Gewalt, weshalb von der generellen Zumutbarkeit des Wegweisungsvollzugs dorthin ausgegangen wird. Konkrete Anhaltspunkte dafür, dass der Beschwerdeführer bei einer Rückkehr einer Gefährdungssituation ausgesetzt wäre oder aus individuellen Gründen wirtschaftlicher, sozialer oder gesundheitlicher Natur in eine existenzbedrohende Situation geraten würde, liegen keine vor. Der Vollzug der Wegweisung erweist sich auch als zumutbar.</w:t>
      </w:r>
    </w:p>
    <w:p>
      <w:r>
        <w:rPr>
          <w:b/>
        </w:rPr>
        <w:t>E. 5.3</w:t>
      </w:r>
    </w:p>
    <w:p>
      <w:r>
        <w:t>Der Vollzug der Wegweisung ist schliesslich nach Art. 83 Abs. 2 AuG als möglich zu bezeichnen, weil es dem Beschwerdeführer obliegt, sich bei der zuständigen Vertretung des Heimatstaates die für eine Rückkehr notwendigen Reisedokumente zu beschaffen (vgl. Art. 8 Abs. 4 AsylG und dazu BVGE 2008/34 E. 12 S. 513 - 515).</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dem Beschwer­deführer aufzuerlegen (Art. 63 Abs. 1 VwVG) und insgesamt auf Fr. 600.- festzusetzen (Art. 1 - 3 des Reglements vom 21. Februar 2008 über die Kosten und Entschädigungen vor dem Bundesverwaltungsgericht [VGKE, SR 173.320.2]). Dem Gesuch um Gewährung der unentgeltlichen Rechtspflege kann nicht entsprochen werden, weil die Beschwerde als aussichtslos zu gelten hat (Art. 65 Abs. 1 VwVG). Der prozessuale Antrag betreffend Bekanntgabe von Personendaten an den Heimat- oder Herkunftsstaat im Sinne von Art. 97 AsylG ist abzuweisen, weil den Akten keine Anhaltspunkte zu entnehmen sind, dass eine Bekanntgabe erfolgt ist. Die übrigen prozessualen Anträge, insbesondere das Gesuch um Verzicht auf die Erhebung eines Kostenvorschusses,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