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E-3741/2022 vom 2. September 2022</w:t>
      </w:r>
    </w:p>
    <w:p>
      <w:r>
        <w:t>Bundesverwaltungsgericht, 2022-09-02, DE</w:t>
      </w:r>
    </w:p>
    <w:p>
      <w:r>
        <w:rPr>
          <w:b/>
        </w:rPr>
        <w:t xml:space="preserve">Quelle: </w:t>
      </w:r>
      <w:r>
        <w:t>https://mcp.opencaselaw.ch/entscheid/bvger_E-3741_2022</w:t>
      </w:r>
    </w:p>
    <w:p>
      <w:r>
        <w:t>FR: TAF E-3741/2022 du 2 septembre 2022</w:t>
      </w:r>
    </w:p>
    <w:p>
      <w:r>
        <w:t>IT: TAF E-3741/2022 del 2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Besitzt der Antragsteller ein gültiges Visum, so ist der Mitgliedstaat, der das Visum erteilt hat, für die Prüfung des Antrags auf internationalen Schutz zuständig (Art. 12 Abs. 2 Dublin-III-VO). Der Umstand, dass das Visum aufgrund einer falschen oder missbräuchlich verwendeten Identität oder nach Vorlage von gefälschten, falschen oder ungültigen Dokumenten erteilt wurde, hindert nicht daran, dem Mitgliedstaat, der das Visum erteilt hat, die Zuständigkeit zuzuweisen (Art. 12 Abs. 5 Dublin-III-VO).</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Dublin-III-VO).</w:t>
      </w:r>
    </w:p>
    <w:p>
      <w:r>
        <w:rPr>
          <w:b/>
        </w:rPr>
        <w:t>E. 4.4</w:t>
      </w:r>
    </w:p>
    <w:p>
      <w:r>
        <w:t>Die Zuständigkeit Spaniens zur Durchführung des Asyl- und Wegweisungsverfahrens ist gestützt auf Art. 12 Abs. 2 Dublin-III-VO grundsätzlich gegeben und wird vom Beschwerdeführer nicht bestritten.</w:t>
      </w:r>
    </w:p>
    <w:p>
      <w:r>
        <w:rPr>
          <w:b/>
        </w:rPr>
        <w:t>E. 5</w:t>
      </w:r>
    </w:p>
    <w:p>
      <w:r>
        <w:t>Wie die Vorinstanz zutreffend ausgeführt hat, ist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konstanter Rechtsprechung des Bundesverwaltungsgerichts weist das Asylverfahren in Spanien keine systemischen Schwachstellen im Sinne von Art. 3 Abs. 2 Dublin-III-VO auf (vgl. anstelle vieler Urteile des BVGer E-1691/2022 vom 12. April 2022 E. 4.2 und E-397/2022 vom 31. Januar 2022 E. 6.2). Auch unter Berücksichtigung der Ausführungen in der Rechtsmitteleingabe zur problematischen Unterbringungssituation von Asylsuchenden besteht keine Veranlassung für eine Änderung der Rechtsprechung. Folglich ist die Anwendung von Art. 3 Abs. 2 Dublin-III-VO nicht gerechtfertigt.</w:t>
      </w:r>
    </w:p>
    <w:p>
      <w:r>
        <w:rPr>
          <w:b/>
        </w:rPr>
        <w:t>E. 6.1</w:t>
      </w:r>
    </w:p>
    <w:p>
      <w:r>
        <w:t>Die Vermutung, dass Spanien als Mitglied des Gemeinsamen Europäischen Asylsystems und Vertragsstaat der vorstehend erwähnten völkerrechtlichen Abkommen die Menschenrechte beachtet, kann im Einzelfall widerlegt werden. Die antragstellende Person hat dazu jedoch konkret darzulegen beziehungsweise mindestens glaubhaft zu machen, dass eine aktuelle und ernsthafte Gefahr einer Verletzung einer direkt anwendbaren Norm des Völkerrechts droht (vgl. BVGE 2010/45 E. 7.4 f.). In diesem Zusammenhang ist zu prüfen, ob allenfalls das Selbsteintrittsrecht nach Art. 17 Abs. 1 erster Satz Dublin-III-VO (Art. 29a Abs. 3 AsylV 1) auszuüben ist.</w:t>
      </w:r>
    </w:p>
    <w:p>
      <w:r>
        <w:rPr>
          <w:b/>
        </w:rPr>
        <w:t>E. 6.2</w:t>
      </w:r>
    </w:p>
    <w:p>
      <w:r>
        <w:t>Der Beschwerdeführer hat kein konkretes und ernsthaftes Risiko dargetan, die spanischen Behörden würden sich weigern, ihn aufzunehmen und seinen Antrag auf internationalen Schutz unter Einhaltung der Regeln der Verfahrensrichtlinie zu prüfen. Wie erwähnt, bestehen keine Hinweise darauf, dass Spanien seinen völkerrechtlichen Verpflichtungen aus der EMRK, der FoK und der FK sowie dem Zusatzprotokoll der FK nicht nachkommt. Dem Beschwerdeführer steht es nach erfolgter Überstellung nach Spanien offen, dort um Asyl nachzusuchen und damit Zugang zu den asylrechtlichen Aufnahmestrukturen zu erhalten.</w:t>
      </w:r>
    </w:p>
    <w:p>
      <w:r>
        <w:rPr>
          <w:b/>
        </w:rPr>
        <w:t>E. 6.3</w:t>
      </w:r>
    </w:p>
    <w:p>
      <w:r>
        <w:t>Der Beschwerdeführer bringt vor, er sei gesundheitlich schwer angeschlagen. Seit einem Angriff des sogenannten (...) habe er fast kein (...) mehr in den (...) und müsse ein (...). Diese Beschwerden und seine (...) seien nie richtig behandelt worden. Zudem leide er an (...) sowie (...) und sei auf psychologische Behandlung angewiesen. Die Vorinstanz wäre verpflichtet gewesen, die Resultate weiterer medizinischer Abklärungen abzuwarten.</w:t>
      </w:r>
    </w:p>
    <w:p>
      <w:r>
        <w:rPr>
          <w:b/>
        </w:rPr>
        <w:t>E. 6.4</w:t>
      </w:r>
    </w:p>
    <w:p>
      <w:r>
        <w:t>Gemäss dem ärztlichen Kurzbericht des BAZ C._______ vom 25. Juli 2022 leidet der Beschwerdeführer an einer (...) und seit sechs Jahren an (...). Im Jahr (...) habe er eine (...) gehabt. In der Türkei sei er an einem (...) operiert worden. Zur Abklärung der (...) erfolgte eine Überweisung an die (...). Als Medikamente wurden ihm (...) und (...) verschrieben. Dem Bericht des F._______ vom 3. August 2022 lässt sich entnehmen, dass der Beschwerdeführer auf dem (...) nicht (...) und auf dem (...) operiert worden sei. Die (...) entspreche dem Alter. Als weiteres Prozedere wurden eine (...)-Voruntersuchung und eine (...)-Operation ([...]) des (...) festgehalten.</w:t>
      </w:r>
    </w:p>
    <w:p>
      <w:r>
        <w:rPr>
          <w:b/>
        </w:rPr>
        <w:t>E. 6.5</w:t>
      </w:r>
    </w:p>
    <w:p>
      <w:r>
        <w:t>Die gesundheitlichen Beeinträchtigungen des Beschwerdeführers sind zwar bedauerlich, aber nicht derart gravierend, dass gestützt auf Art. 3 EMRK von einer Überstellung nach Spanien abgesehen werden müsste (vgl. dazu Urteil des EGMR Paposhvili gegen Belgien 13. Dezember 2016, Grosse Kammer, 41738/10, §§ 180-193 m.w.H.). Dass weitere medizinische Untersuchungen schwerwiegende Gesundheitsbeeinträchtigungen aufdecken könnten, welche im Sinne von Art. 3 EMRK einer Überstellung entgegenstünden, ist aufgrund der Aktenlage nicht zu erwarten. Auf weitere Abklärungen zum Gesundheitszustand kann daher verzichtet werden (vgl. dazu BGE 136 I 229 E. 5.3; 134 I 140 E. 5.3). Im Übrigen verfügt Spanien über eine ausreichende medizinische Infrastruktur und ist verpflichtet, asylsuchenden Personen die erforderliche medizinische Versorgung zugänglich zu machen und Personen mit besonderen Bedürfnissen die erforderliche medizinische oder sonstige Hilfe (einschliesslich nötigenfalls einer geeigneten psychologischen Betreuung) zu gewähren (vgl. Art. 19 Aufnahmerichtlinie). Gemäss Angaben des Beschwerdeführers leidet er seit längerem an gesundheitlichen Problemen und wurde am (...), an einem (...) und am (...) operiert. Er substantiiert nicht, inwiefern die Behandlung dieser Beschwerden in Spanien nicht fortgesetzt werden könnte, zumal keine Hinweise vorliegen, dass Spanien ihm eine adäquate medizinische Behandlung verweigern würde. Bezüglich der Behandlung allfälliger psychischer Probleme kann er sich im Bedarfsfall an das zuständige medizinische Fachpersonal wenden. Die geltend gemachten Beschwerden stehen einer Überstellung nach Spanien somit nicht entgegen und könnten höchstens die Reisefähigkeit tangieren, welche es im Zeitpunkt der tatsächlichen Überstellung abzuklären gilt. Die schweizerischen Behörden, die mit dem Vollzug der angefochtenen Verfügung beauftragt sind, werden den medizinischen Umständen bei der Bestimmung der konkreten Modalitäten der Überstellung des Beschwerdeführers Rechnung tragen und die spanischen Behörden vorgängig in geeigneter Weise über die spezifischen medizinischen Umstände informieren (vgl. Art. 31 f. Dublin-III-VO). Bei dieser Sachlage besteht kein Anlass für die Einholung individueller Garantien betreffend Unterbringung und nahtloser medizinischer Behandlung.</w:t>
      </w:r>
    </w:p>
    <w:p>
      <w:r>
        <w:rPr>
          <w:b/>
        </w:rPr>
        <w:t>E. 7</w:t>
      </w:r>
    </w:p>
    <w:p>
      <w:r>
        <w:t>Es droht somit keine Verletzung von Art. 3 EMRK, weshalb die Schweiz nicht zum Selbsteintritt nach Art. 17 Abs. 1 Dublin-III-VO verpflichtet ist. Auch humanitäre Gründe im Sinne von Art. 29a Abs. 3 AsylV 1 liegen nicht vor. Anzufügen ist, dass die Dublin-III-VO den Schutzsuchenden kein Recht einräumt, den ihren Antrag prüfenden Staat selber auszuwählen (vgl. auch BVGE 2010/45 E. 8.3).</w:t>
      </w:r>
    </w:p>
    <w:p>
      <w:r>
        <w:rPr>
          <w:b/>
        </w:rPr>
        <w:t>E. 8</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Spanien in Anwendung von Art. 44 AsylG ebenfalls zu Recht angeordnet (Art. 32 Bst. a AsylV 1).</w:t>
      </w:r>
    </w:p>
    <w:p>
      <w:r>
        <w:rPr>
          <w:b/>
        </w:rPr>
        <w:t>E. 9</w:t>
      </w:r>
    </w:p>
    <w:p>
      <w:r>
        <w:t>Nach dem Ausgeführten ist die Beschwerde abzuweisen und die Verfügung der Vorinstanz zu bestätigen. Für eine Rückweisung der Sache an die Vorinstanz besteht kein Anlass. Mit dem vorliegenden Urteil sind die Gesuche um Gewährung der aufschiebenden Wirkung und Verzicht auf die Erhebung eines Kostenvorschusses gegenstandslos geworden.</w:t>
      </w:r>
    </w:p>
    <w:p>
      <w:r>
        <w:rPr>
          <w:b/>
        </w:rPr>
        <w:t>E. 10.1</w:t>
      </w:r>
    </w:p>
    <w:p>
      <w:r>
        <w:t>Das Gesuch um Gewährung der unentgeltlichen Prozessführung ist abzuweisen, da die Begehren - wie sich aus den vorstehenden Erwägungen ergibt - als aussichtslos zu bezeichnen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