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E-3740/2006 vom 30. Mai 2008</w:t>
      </w:r>
    </w:p>
    <w:p>
      <w:r>
        <w:t>Bundesverwaltungsgericht, 2008-05-30, DE</w:t>
      </w:r>
    </w:p>
    <w:p>
      <w:r>
        <w:rPr>
          <w:b/>
        </w:rPr>
        <w:t xml:space="preserve">Quelle: </w:t>
      </w:r>
      <w:r>
        <w:t>https://mcp.opencaselaw.ch/entscheid/bvger_E-3740_2006</w:t>
      </w:r>
    </w:p>
    <w:p>
      <w:r>
        <w:t>FR: TAF E-3740/2006 du 30 mai 2008</w:t>
      </w:r>
    </w:p>
    <w:p>
      <w:r>
        <w:t>IT: TAF E-3740/2006 del 30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hat vor der Vorinstanz am Verfahren teilgenommen, ist durch die angefochtene Verfügung berührt und hat ein schutzwürdiges Interesse an deren Aufhebung beziehungsweise Änderung. Die Beschwerdeführerin ist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durch Organe des Heimat- oder Herkunftsstaates zugefügt worden sind beziehungsweise zugefügt zu werden drohen. Seit gut einem Jahr hat die Schweiz im Übrigen den Wechsel von der Zurechenbarkeits- zur Schutztheorie vollzogen, was bedeutet, dass auch eine Verfolgung aus den oben genannten Gründen seitens privater Dritter flüchtlingsrechtlich relevant sein kann (vgl. die vom Bundesverwaltungsgericht fortgeführte Rechtsprechung der ARK in Entscheidungen und Mitteilungen der Schweizerischen Asylrekurskommission [EMARK] 2006 Nr. 18).</w:t>
      </w:r>
    </w:p>
    <w:p>
      <w:r>
        <w:rPr>
          <w:b/>
        </w:rPr>
        <w:t>E. 4.1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Gültigkeit beanspruchende Rechtsprechung der ARK in EMARK 2005 Nr. 21 E. 6.1 mit weiteren Hinweisen).</w:t>
      </w:r>
    </w:p>
    <w:p>
      <w:r>
        <w:rPr>
          <w:b/>
        </w:rPr>
        <w:t>E. 5.1</w:t>
      </w:r>
    </w:p>
    <w:p>
      <w:r>
        <w:t>Die Beschwerdeführerin macht im Wesentlichen geltend, sie habe in Tunesien Nachteile erlitten, nachdem ihr Bruder B._______, welcher seit dem Jahre 1991 der Mitgliedschaft bei der Ennahda-Bewegung bezichtigt würde, das Land verlassen habe. Nachdem es schliesslich Ende des Jahres 2002 zu einem sexuellen Übergriff gekommen und sie im Juli 2003 auf ihrem Arbeitsweg kontrolliert worden sei, habe sie das Land verlassen. Sie habe ferner in Tunesien ihr Kopftuch nicht tragen dürfen.</w:t>
      </w:r>
    </w:p>
    <w:p>
      <w:r>
        <w:rPr>
          <w:b/>
        </w:rPr>
        <w:t>E. 5.1.1</w:t>
      </w:r>
    </w:p>
    <w:p>
      <w:r>
        <w:t>Aus den beigezogenen Akten des Asylverfahrens des Bruders der Beschwerdeführerin, B._______ (N_______) geht hervor, dass dieser Tunesien im Oktober 1991 verlassen und nach Aufenthalten in Syrien und Libyen am 28. Dezember 1998 am Flughafen Zürich-Kloten um Asyl nachgesucht hat. Sein Gesuch hatte er in der Tat mit Verbindungen zur Ennahda begründet. Mit Verfügung vom 16. November 1999 gewährte das BFF dem Bruder der Beschwerdeführerin in der Schweiz Asyl. Es ist des Weiteren festzuhalten, dass gemäss Kenntnissen des Bundesverwaltungsgerichts Angehörige von Ennahda-Mitgliedern vom tunesischen Staat Repressionen in der Art und Weise, wie sie von der Beschwerdeführerin umschrieben wurden, unterworfen sein können. Das Bundesverwaltungsgericht kommt aber vorliegend mit dem Bundesamt zum Schluss, dass es der Beschwerdeführerin nicht gelingt, aus den geltend gemachten Umständen eine sie selbst betreffende Gefährdung im Sinne von Art. 3 AsylG abzuleiten. So hält die Vorinstanz zutreffenderweise fest, die Beschlagnahmung ihres Reisepasses bei der Wiedereinreise aus Syrien im Jahre 1992, die geltend gemachten Hausdurchsuchungen und Beschimpfungen, welche laut den Angaben der Beschwerdeführerin bis ins Jahr 1995 stattgefunden hätten, sowie die Beobachtung durch ihre Freundin im Jahre 1996 lägen zeitlich weit zurück und der Kausalzusammenhang zwischen diesen Ereignissen und der Ausreise sei unterbrochen (vgl. die nach wie vor geltende Rechtsprechung der ARK in EMARK 2003 Nr. 8 E. 7, 2000 Nr. 2 E. 8 c, 1999 Nr. 7 E. 4b). Bezeichnenderweise hat denn die Beschwerdeführerin, abgesehen vom Umstand, dass sie das Kopftuch nicht habe tragen dürfen (vgl. unten E. 5.1.2), offenbar bis im Jahre 2002 bei ihren Eltern an der den Behörden bekannten Adresse gelebt und ist ihrer Arbeit nachgegangen, ohne dass sie weiterhin im Zusammenhang mit ihrem Bruder B._______ belästigt worden wäre. Ergänzend kann festgehalten werden, dass den für die Jahre 1992 bis 1996 geltend gemachten Eingriffen auch mangels der zur Annahme von ernsthaften Nachteilen im Sinne von Art. 3 AsylG erforderlichen Intensität keine Asylrelevanz zuzukommen vermag (vgl. die heute noch geltende Rechtsprechung der ARK in EMARK 2005 Nr. 17 E. 6.2, 2000 Nr. 17 E. 11 b). Was den von der Beschwerdeführerin vorgebrachten sexuellen Übergriff des Polizeibeamten im Zusammenhang mit der Passausstellung Ende des Jahres 2002 betrifft, mangelt es auch ihm vorab an der erforderlichen Intensität, um als ernsthafter Nachteil im Sinne des Gesetzes qualifiziert zu werden. Dasselbe gilt hinsichtlich der geltend gemachten absichtlichen Verzögerungen bei der Ausstellung von administrativen Dokumenten (vgl. A10/S. 5) sowie der Kontrolle auf ihrem Arbeitsweg, bei welcher sich die Beschwerdeführerin vor den anderen Passagieren blossgestellt gefühlt habe, weil man sie namentlich aufgerufen und von ihr verlangt habe, den Bus für die Kontrolle zu verlassen.</w:t>
      </w:r>
    </w:p>
    <w:p>
      <w:r>
        <w:rPr>
          <w:b/>
        </w:rPr>
        <w:t>E. 5.1.2</w:t>
      </w:r>
    </w:p>
    <w:p>
      <w:r>
        <w:t>Soweit schliesslich die Beschwerdeführerin vorbringt, sie habe aufgrund eines allgemeinen Verbotes ihr Kopftuch nicht tragen dürfen und es sei ihr wiederholt abgenommen worden, kann, um Wiederholungen zu vermeiden, auf die zutreffende diesbezügliche Erwägung des Bundesamtes verwiesen werden, wonach es diesen Massnahmen bereits an der erforderlichen Gezieltheit mangelt, um als asylrechtlich relevanter Eingriff qualifiziert zu werden.</w:t>
      </w:r>
    </w:p>
    <w:p>
      <w:r>
        <w:rPr>
          <w:b/>
        </w:rPr>
        <w:t>E. 6.1</w:t>
      </w:r>
    </w:p>
    <w:p>
      <w:r>
        <w:t>Auf Beschwerdestufe führt die Rekurrentin aus, sie sei aufgrund der geltend gemachten Vorfälle, insbesondere aber aufgrund der sexuellen Belästigung durch den Beamten, einem unerträglichen psychischen Druck im Sinne von Art. 3 Abs. 2 AsylG ausgesetzt worden. Zwar sollen mit dem Begriff des unerträglichen psychischen Drucks auch staatliche Massnahmen erfasst werden, die sich nicht unmittelbar gegen die Rechtsgüter Leib, Leben oder Freiheit richten. Ausgangspunkt, um einen unerträglichen psychischen Druck bejahen zu können, stellen in der Regel konkrete staatliche Eingriffe dar, die effektiv stattgefunden haben. Vorliegend vermögen aber die von der Beschwerdeführerin geschilderten Massnahmen auch in einer Gesamtwürdigung nicht zur Annahme zu führen, sie hätten ihr ein menschenwürdiges Leben in Tunesien verunmöglicht, wie dies zur Annahme eines unerträglichen psychischen Druckes erforderlich wäre. Denn die staatlichen Verfolgungsmassnahmen müssten in einer objektivierten Betrachtung als derart intensiv erscheinen, dass der Beschwerdeführerin ein weiterer Verbleib in ihrem Heimatstaat objektiv nicht mehr zugemutet werden könnte; ausschlaggebend ist mit anderen Worten nicht, wie die betroffene Person die Situation subjektiv erlebt hat, sondern ob aufgrund der tatsächlichen Situation für Aussenstehende nachvollziehbar ist, dass der psychische Druck unerträglich geworden ist (vgl. EMARK 2005 Nr. 21 E. 10.3.1. 1996 Nr. 30, E. 4 d m.w.H.). Dies ist offensichtlich vorliegend nicht der Fall, zumal die Beschwerdeführerin angegeben hat, bis zur Ausreise zu Hause gelebt und nach Abbruch ihres Studiums und bis zur Ausreise gearbeitet zu haben. Das dem Unterstützungsschreiben ihres Bruders vom 30. April 2004 zu entnehmende Vorbringen, die Beschwerdeführerin habe, nachdem man sie gefoltert habe, versteckt in C._______ gelebt, vermag nichts zu ihren Gunsten zu bewirken, widerspricht es doch ihren eigenen Angaben. Auch die auf Beschwerdestufe zu den Akten gereichten Arztberichte vermögen die Annahme eines Druckes im oben umschriebenen Sinne nicht zu rechtfertigen, zumal sie den psychischen Erschöpfungszustand der Beschwerdeführerin vorab auf die im Zusammenhang mit ihrer ungewissen Situation hinsichtlich ihres Aufenthaltsstatus in der Schweiz zurückführen, was im Übrigen ein bekanntes Phänomen darstellt bei Personen in vergleichbarer Situation.</w:t>
      </w:r>
    </w:p>
    <w:p>
      <w:r>
        <w:rPr>
          <w:b/>
        </w:rPr>
        <w:t>E. 6.2</w:t>
      </w:r>
    </w:p>
    <w:p>
      <w:r>
        <w:t>Auf die weiteren Ausführungen in der Beschwerde einzugehen erübrigt sich, weil sie am Ergebnis nichts zu ändern vermögen. Auch die auf Beschwerdestufe eingereichten Dokumente vermögen nichts zu Gunsten der Beschwerdeführerin zu bewirken und es kann ergänzend auf die Ausführungen in der Vernehmlassung vom 21. Mai 2004 verwiesen werden. Aus den am 30. Oktober 2006 und am 30. April 2007 zu den Akten gereichten Dokumenten zur Menschenrechtslage in Tunesien lässt sich ebenfalls nichts zu Gunsten der Beschwerdeführerin ableiten. Dasselbe gilt für den Hinweis in den beiden Arztberichten vom 25. Oktober 2006 und vom 26. April 2007, es bestehe ein Verdacht auf eine traumatische Störung bei der Beschwerdeführerin.</w:t>
      </w:r>
    </w:p>
    <w:p>
      <w:r>
        <w:rPr>
          <w:b/>
        </w:rPr>
        <w:t>E. 7</w:t>
      </w:r>
    </w:p>
    <w:p>
      <w:r>
        <w:t>Zusammenfassend ist festzuhalten, dass es der Beschwerdeführerin nicht gelungen ist, eine asylrelevante Verfolgung im Sinne von Art. 3 AsylG darzutun. Auch ist keine begründete Furcht vor künftiger Verfolgung anzunehmen. Die Beschwerdeführerin hatte angegeben, selbst nie politisch tätig gewesen zu sein. Der Umstand, dass sie im Ausland ein Asylgesuch gestellt hat, vermag für sich alleine ebenfalls keine solche zu begründen, zumal der tunesische Staat offenbar nicht systematisch prüft, was Personen während langjähriger Auslandsaufenthalte gemacht haben (vgl. Schweizerische Flüchtlingshilfe [SFH], Tunesien: Rückkehr nach langjährigem Auslandaufenthalt und Einreichung eines Asylgesuches, Auskunft der Länderanalyse, Bern, 23. November 2006). Insgesamt besteht kein Anlass zur Annahme, die Beschwerdeführerin wäre bei einer allfälligen Wiedereinreise in Tunesien mit beachtlicher Wahrscheinlichkeit und in absehbarer Zeit Nachteilen im Sinne von Art. 3 AsylG ausgesetzt, wenn auch nicht ausgeschlossen werden kann, dass sich die Behörden möglicherweise bei dieser Gelegenheit erneut nach dem Aufenthaltsort ihres Bruders B._______ erkundigen könnten. Eine asylrelevante Verfolgungsabsicht aus diesem Grunde ist jedoch auch für die Zukunft nicht anzunehmen, haben sich doch die Behörden laut Angaben der Beschwerdeführerin letztmals im Jahre 1996 aktiv für den Bruder B._______ interessiert, während die zweimaligen Rückfragen der Polizisten in den Jahren 2002 und 2003 in anderem Kontext, nämlich einmal anlässlich der Passausstellung und einmal anlässlich einer Routinekontrolle, erfolgten. Bezeichnenderweise liessen die Behörden die Beschwerdeführerin schliesslich mit ihrem eigenen Pass legal über den Flughafen Tunis ausreisen. In diesem Zusammenhang kann ergänzend darauf verwiesen werden, dass das Bundesverwaltungsgericht mit Urteil vom heutigen Tag (E-7246/2006) auch in Bezug auf ihren Bruder D._______ zum Schluss gekommen ist, er sei in Tunesien nicht in asylrelevanter Weise gefährdet. Auch er hatte geltend gemacht, wegen seines Bruders B._______ in Tunesien in asylrevanter Weise verfolgt zu sein, was vom Bundesverwaltungsgericht nicht als glaubhaft gemacht erachtet wurde. Die Vorinstanz hat insgesamt die Anerkennung der Flüchtlingseigenschaft und die Gewährung von Asyl zu Recht verweigert.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vgl. EMARK 2001 Nr. 21).</w:t>
      </w:r>
    </w:p>
    <w:p>
      <w:r>
        <w:rPr>
          <w:b/>
        </w:rPr>
        <w:t>E. 8.2</w:t>
      </w:r>
    </w:p>
    <w:p>
      <w:r>
        <w:t>Die Beschwerdeführerin verfügt weder über eine ausländerrechtliche Aufenthaltsbewilligung noch über einen Anspruch auf Erteilung einer solchen. Die Wegweisung wurde demnach zu Recht angeordnet (Art. 44 Abs. 1 AsylG).</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Der Grundsatz der Nichtrückschiebung schützt nur Personen, die die Flüchtlingseigenschaft erfüllen. Da es der Beschwerdeführerin nicht gelungen ist, eine asylrechtlich erhebliche Gefährdung nachzuweisen oder glaubhaft zu machen, geht im vorliegenden Verfahren mit der Anordnung des Vollzugs der Wegweisung keine Verletzung des flüchtlingsrechtlichen Non-Refoulements einher.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wenn auch diesbezüglich klare Defizite bestehen (vgl. Human Rights Watch, World Report, January 2008).</w:t>
      </w:r>
    </w:p>
    <w:p>
      <w:r>
        <w:rPr>
          <w:b/>
        </w:rPr>
        <w:t>E. 9.2.3</w:t>
      </w:r>
    </w:p>
    <w:p>
      <w:r>
        <w:t>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Weder aus der allgemeinen Lage in Tunesien, wo die Beschwerdeführerin in E._______ über ein soziales Netz verfügt, noch aus individuellen Begebenheiten ergeben sich Umstände, welche auf die Unzumutbarkeit des Wegweisungsvollzugs hindeuten würden. Die Beschwerdeführerin ist dort bei ihrer Familie aufgewachsen, wo sie bis zur Ausreise gelebt hat. Während die beiden Brüder inzwischen in der Schweiz leben, hat sie ihre Schwester und ihre Eltern im Heimatland zurückgelassen. Aus den zu den Akten gereichten ärztlichen Schreiben geht hervor, dass die Beschwerdeführerin in der Schweiz gerade darunter leide, dass sie nicht unter nahen Menschen lebe. Sollte sie auch im Heimatland auf ärztliche, allenfalls psychotherapeutische Unterstützung angewiesen sein, ist ohne Weiteres davon auszugehen, dass sie in der Grossstadt Tunis Zugang zu entsprechenden Institutionen hat. Laut ihren eigenen Angaben verfügt die Beschwerdeführerin schliesslich über eine gute Bildung und war während mehrerer Jahre als Therapeutin und Masseurin erwerbstätig, laut dem nachgereichten Arbeitsausweis in einem Tourismus-Betrieb. Es ist nach dem Gesagten davon auszugehen, dass sie nach einer Rückkehr nach Tunis in sozialer und wirtschaftlicher Hinsicht wieder Fuss fassen kann. 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(Art. 8 Abs. 4 AsylG), sofern sie nicht noch immer im Besitz ihres Passes ist, weshalb der Vollzug der Wegweisung auch als möglich zu bezeichnen ist (Art. 83 Abs. 2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Bei diesem Ausgang des Verfahrens wären die Kosten grundsätzlich der Beschwerdeführerin aufzuerlegen (Art. 63 Abs. 1 und 5 VwVG) und auf insgesamt Fr. 600.-- festzusetzen (Art. 1-3 des Reglements vom 11. Dezember 2006 über Kosten und Entschädigungen vor dem Bundesverwaltungsgericht [VGKE, SR 173.320.2]). Es verbleibt aber das Gesuch um Gewährung der unentgeltlichen Rechtspflege im Sinne von Art. 65 Abs. 1 VwVG zu behandeln. Dieses ist gutzuheissen, nachdem nach wie vor von der Bedürftigkeit der Beschwerdeführerin auszugehen ist und sich die Beschwerde nicht als aussichtslos im Sinne des Gesetzes erwiesen hatte. Auf die Auferlegung von Verfahrenskosten ist demzufolge zu verzichten.</w:t>
      </w:r>
    </w:p>
    <w:p>
      <w:r>
        <w:rPr>
          <w:b/>
        </w:rPr>
        <w:t>E. 11.2</w:t>
      </w:r>
    </w:p>
    <w:p>
      <w:r>
        <w:t>Eine Parteientschädigung ist nach dem Gesagten nicht auszurichten (vgl. Art. 64 VwVG und Art. 7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