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E-3739/2018 vom 16. Juli 2018</w:t>
      </w:r>
    </w:p>
    <w:p>
      <w:r>
        <w:t>Bundesverwaltungsgericht, 2018-07-16, DE</w:t>
      </w:r>
    </w:p>
    <w:p>
      <w:r>
        <w:rPr>
          <w:b/>
        </w:rPr>
        <w:t xml:space="preserve">Quelle: </w:t>
      </w:r>
      <w:r>
        <w:t>https://mcp.opencaselaw.ch/entscheid/bvger_E-3739_2018</w:t>
      </w:r>
    </w:p>
    <w:p>
      <w:r>
        <w:t>FR: TAF E-3739/2018 du 16 juillet 2018</w:t>
      </w:r>
    </w:p>
    <w:p>
      <w:r>
        <w:t>IT: TAF E-3739/2018 del 16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1.5</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lässt beantragen, das Verfahren vor dem Bundesverwaltungsgericht sei bis zum rechtskräftigen Ausgang eines allfälligen Strafverfahrens gegen die zuständige Sachbearbeiterin des SEM - eingeleitet durch ihre Anzeige an die Staatsanwaltschaft (...) vom 2. Mai 2018 - zu sistieren. Dieser Antrag ist abzuweisen: Der Gesetzgeber trägt dem Bundesverwaltungsgericht auf, Verfahren wie das vorliegende in der Regel innerhalb von 20 Tagen abzuschliessen. Bereits diese Behandlungsfrist schliesst Verfahrenssistierungen von unabsehbarer Dauer faktisch weitgehend aus. Der Vorwurf deliktischen Handelns wird zu gegebener Zeit von den angerufenen Strafverfolgungsbehörden zu behandeln sein. In asylrechtlicher Hinsicht beschränkt sich das Bundesverwaltungsgericht in diesem Zusammenhang unter Hinweis auf die nachfolgenden Erwägungen auf die Feststellung, dass den Akten der Beschwerdeführerinnen keine Hinweise für die Annahme zu entnehmen sind, der rechtserhebliche Sachverhalt sei unvollständig oder nicht korrekt erhoben worden.</w:t>
      </w:r>
    </w:p>
    <w:p>
      <w:r>
        <w:rPr>
          <w:b/>
        </w:rPr>
        <w:t>E. 3.2</w:t>
      </w:r>
    </w:p>
    <w:p>
      <w:r>
        <w:t>Soweit in der Beschwerde um Herstellung der aufschiebenden Wirkung ersucht wird, bleibt darauf hinzuweisen, dass dem Rechtsmittel von Gesetzes wegen aufschiebende Wirkung zukommt (Art. 55 Abs. 1 VwVG) und diese von der Vorinstanz auch nicht entzogen worden ist (Art. 55 Abs. 2 VwVG). Auf diesen Antrag ist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sind die verfahrensrechtlichen Rügen der Beschwerdeführerin und ihre massiven Vorhaltungen gegenüber dem SEM zu beurteilen.</w:t>
      </w:r>
    </w:p>
    <w:p>
      <w:r>
        <w:rPr>
          <w:b/>
        </w:rPr>
        <w:t>E. 5.1</w:t>
      </w:r>
    </w:p>
    <w:p>
      <w:r>
        <w:t>Die Beschwerdeführerin lässt die Auffassung vertreten, das SEM habe in ihrem Verfahren mehrmals Übersetzerinnen eingesetzt, mit denen eine uneingeschränkte Verständigung nicht möglich gewesen sei, weil sie nicht ihren tunesischen Akzent gesprochen hätten (vgl. Beschwerde insbes. S. 6 ff.).</w:t>
      </w:r>
    </w:p>
    <w:p>
      <w:r>
        <w:rPr>
          <w:b/>
        </w:rPr>
        <w:t>E. 5.1.1</w:t>
      </w:r>
    </w:p>
    <w:p>
      <w:r>
        <w:t>Die Beschwerdeführerin hatte bei der BzP als Muttersprache "Arabisch" angegeben (vgl. Protokoll BzP S. 4). Diese erste Kurzbefragung wurde in "Arabisch" durchgeführt; sie gab dabei zu Protokoll, diese Dolmetscherin "gut" zu verstehen (vgl. a.a.O. S. 2 und 8 f.).</w:t>
      </w:r>
    </w:p>
    <w:p>
      <w:r>
        <w:rPr>
          <w:b/>
        </w:rPr>
        <w:t>E. 5.1.2</w:t>
      </w:r>
    </w:p>
    <w:p>
      <w:r>
        <w:t>Bei der Anhörung vom 27. September 2016 wurde eine andere "Arabisch"-Dolmetscherin eingesetzt, und die Protokollseite 1 - die damals als einzige von der Beschwerdeführerin als korrekt unterschrieben wurde - hält die folgende Antwort auf die Frage "Wie verstehen Sie die Dolmetscherin?" fest: "Ja, gut". Das in der Folge protokollierte Gespräch zeigt in formaler Hinsicht keinerlei Hinweise auf Verständigungsschwierigkeiten (wie sie bei einer gestörten sprachlichen Kommunikation in solchen Protokollen erfahrungsgemäss festzustellen wären). Erst gegen Ende dieser Befragung, bei der Frage Nummer 116, merkte der Rechtsvertreter, der offenbar selber Arabisch spricht, an, die Dolmetscherin habe eine Aussage seiner Klientin "nicht exakt" wiedergegeben, woraus sich "Syntaxprobleme" ergeben würden (vgl. Protokoll S. 16). Schliesslich verweigerte die Beschwerdeführerin auf Anraten ihres Rechtsvertreters die Unterzeichnung der rückübersetzten Protokollstellen.</w:t>
      </w:r>
    </w:p>
    <w:p>
      <w:r>
        <w:rPr>
          <w:b/>
        </w:rPr>
        <w:t>E. 5.1.3</w:t>
      </w:r>
    </w:p>
    <w:p>
      <w:r>
        <w:t>Für die ergänzende Anhörung vom 17. April 2018 wurde vom SEM in Absprache mit der Rechtsvertretung eine marokkanische Dolmetscherin aufgeboten, die regelmässig bei Anhörungen von tunesischen Asylsuchenden eingesetzt werde, wobei nach den Erfahrungen des Staatssekretariats keine Verständigungsschwierigkeiten auftreten würden (vgl. Telefon-/Aktennotiz vom 11. April 2018, Aktenstück A46/1). Zu Beginn der Befragung merkte die Beschwerdeführerin an, es gebe einen Unterschied zwischen dem marokkanischen und dem tunesischen Dialekt. Auf die Anschlussfrage, wie denn die Verständigung denn bisher gewesen sei, antwortete sie: "Bis jetzt habe ich es verstanden. Ich weiss nicht, wie es später wird" (vgl. Protokoll vor F1 und bei F3). Ihr Rechtsvertreter bemängelte hingegen sogleich die Übersetzung der Dolmetscherin, was zu längeren Diskussionen führte (vgl. a.a.O. ad F3 ff.). Kurz darauf bekräftigte die Beschwerdeführerin wiederum ausdrücklich, dass sie bisher alles verstanden habe (vgl. a.a.O. ad F13). Der Rechtsvertreter bemängelte in der Folge zwar mehrmals die Übersetzung konkreter Aussagen seiner Klientin (vgl. etwa a.a.O. ad F45: "[RV bemängelt wortwörtliche Übersetzung 'meiner Tochter' anstelle des Namens der Tochter 'B._______']". Es handelte sich dabei aber um nebensächliche Punkte, und die Anhörung konnte in der Folge weitergeführt werden. Auf die Abschlussfrage der Sachbearbeiterin hin, ob sie nun alles für das Asylgesuch Wesentliche habe zu Protokoll geben können, erwähnte die Beschwerdeführerin, dass sie bei ihren Antworten jeweils - durch die Sachbearbeiterin oder für die Übersetzung des bereits Gesagten - unterbrochen worden sei. Es folgten lange Diskussionen zwischen der Sachbearbeiterin, der Beschwerdeführerin und deren Rechtsvertreter, die darin gipfelten, dass Letzterer der SEM-Mitarbeiterin die Einreichung einer Strafanzeige wegen Nötigung ankündigte (vgl. a.a.O. S. 20 ff.). Bei der Rückübersetzung ihrer protokollierten Aussagen gab die Beschwerdeführerin einige Präzisierungen zu Protokoll (vgl. a.a.O. S. 24) und unterzeichnete dieses in der Folge als vollständig und ihren freien Äusserungen entsprechend.</w:t>
      </w:r>
    </w:p>
    <w:p>
      <w:r>
        <w:rPr>
          <w:b/>
        </w:rPr>
        <w:t>E. 5.1.4</w:t>
      </w:r>
    </w:p>
    <w:p>
      <w:r>
        <w:t>Insgesamt ergibt sich nach dem Gesagten, dass die Befragungen der Beschwerdeführerinnen offensichtlich ohne relevante Verständigungsprobleme durchgeführt werden konnten. Der Stellungnahme des SEM-Abteilungschefs vom 18. Mai 2018 ist im Übrigen zu entnehmen, dass auch die Sachbearbeiterin "arabischer Muttersprache" ist.</w:t>
      </w:r>
    </w:p>
    <w:p>
      <w:r>
        <w:rPr>
          <w:b/>
        </w:rPr>
        <w:t>E. 5.1.5</w:t>
      </w:r>
    </w:p>
    <w:p>
      <w:r>
        <w:t>Die Rüge der falschen oder unvollständigen Feststellung des rechtserheblichen Sachverhalts aufgrund von Fehlleistungen oder Unvermögen der drei Dolmetscherinnen erweist sich als unbegründet.</w:t>
      </w:r>
    </w:p>
    <w:p>
      <w:r>
        <w:rPr>
          <w:b/>
        </w:rPr>
        <w:t>E. 5.2.1</w:t>
      </w:r>
    </w:p>
    <w:p>
      <w:r>
        <w:t>Das Bundesverwaltungsgericht äussert sich - wie erwähnt (vgl. oben E. 3.1) - explizit nicht zur Frage, ob die Information der Beschwerdeführerin über die möglichen prozessualen Konsequenzen einer allfälligen erneuten Weigerung, das Protokoll zu unterzeichnen (vgl. Protokoll der Anhörung vom 17. April 2018 S. 22), strafrechtlich relevant sein könnten.</w:t>
      </w:r>
    </w:p>
    <w:p>
      <w:r>
        <w:rPr>
          <w:b/>
        </w:rPr>
        <w:t>E. 5.2.2</w:t>
      </w:r>
    </w:p>
    <w:p>
      <w:r>
        <w:t>Soweit die Dauer der Anhörungen von der Beschwerdeführerin bemängelt werden (vgl. Beschwerde S. 13 f.), ist mit dem SEM (vgl. Antwort des SEM-Abteilungschefs, Aktenstück A53/3. S. 2) festzuhalten, dass insbesondere die wiederholten Interventionen ihres Rechtsvertreters die Gespräche massiv verlängerten - und übrigens offensichtlich auch zu einer Verunsicherung seiner Mandantin führten (vgl. etwa die Anmerkungen der Hilfswerksvertretung zur Anhörung vom 17. April 2018).</w:t>
      </w:r>
    </w:p>
    <w:p>
      <w:r>
        <w:rPr>
          <w:b/>
        </w:rPr>
        <w:t>E. 5.2.3</w:t>
      </w:r>
    </w:p>
    <w:p>
      <w:r>
        <w:t>Die Arbeit der Sachbearbeiterin wird in der Beschwerde auch in anderer Hinsicht harsch kritisiert (vgl. Beschwerde S. 12 ff: mangelhafte Organisation und Durchführung der Befragungen, Unterbrechungen der Beschwerdeführerin während ihrer Antworten, mangelndes Interesse an der korrekten Erhebung des Sachverhalts, Verzicht auf erforderliche Nachfragen; "Durchboxen" der Anhörung um jeden Preis). Eine Durchsicht der Akten ergibt keine Hinweise auf die Berechtigung derartiger Vorwürfe. Den ausführlichen Gesprächsprotokollen ist zu entnehmen, dass die Anhörungen der Beschwerdeführerin korrekt durchgeführt wurden. Soweit feststellbar, hat die zuständige Sachbearbeiterin die Anhörungen der Beschwerdeführerin professionell vorbereitet und durchgeführt. Ihre Fragen waren zielgerichtet und von Empathie sowie vom ernsthaften Interesse an der Erhebung des Sachverhalts geprägt (nebenbei bemerkt auch von einer bemerkenswerten Gelassenheit gegenüber den ausser-gewöhnlichen Interventionen des Rechtsvertreters). Davon, dass die Sachbearbeiterin der Beschwerdeführerin "die Möglichkeit der eigenständigen Sachverhaltsvorbringung gänzlich verwehrt" habe (vgl. Beschwerde S. 18), kann offensichtlich in keiner Weise die Rede sein.</w:t>
      </w:r>
    </w:p>
    <w:p>
      <w:r>
        <w:rPr>
          <w:b/>
        </w:rPr>
        <w:t>E. 5.3</w:t>
      </w:r>
    </w:p>
    <w:p>
      <w:r>
        <w:t>Auch die Rüge der Verletzung des rechtlichen Gehörs erweist sich damit als unbegründet. Der rechtserhebliche Sachverhalt wurde vom SEM korrekt und vollständig festgestellt. In diesem Zusammenhang darauf hinzuweisen, dass die Beschwerdeführerin die ihr angebotene Möglichkeit, allfällige Sachverhaltsergänzungen in schriftlicher Form aktenkundig zu machen, bezeichnenderweise nicht nutzte, sondern sich auf einen Protestbrief an die SEM-Direktion vom 2. Mai 2018 beschränkte.</w:t>
      </w:r>
    </w:p>
    <w:p>
      <w:r>
        <w:rPr>
          <w:b/>
        </w:rPr>
        <w:t>E. 5.4</w:t>
      </w:r>
    </w:p>
    <w:p>
      <w:r>
        <w:t>Für die beantragte Anweisung des SEM im Zusammenhang mit der angeblich "systematischen Ungleichbehandlung von Asylbewerbern aus den arabischen Ländern" (vgl. Beschwerde insbes. S. 29) besteht keine Veranlassung. Auch auf die übrigen Ausführungen in der Beschwerdeschrift zu angeblichen Verfahrensfehlern ist hier nicht weiter einzugehen.</w:t>
      </w:r>
    </w:p>
    <w:p>
      <w:r>
        <w:rPr>
          <w:b/>
        </w:rPr>
        <w:t>E. 6.1</w:t>
      </w:r>
    </w:p>
    <w:p>
      <w:r>
        <w:t>Die Beschwerdeführerinnen begründen ihr Asylgesuch im Wesentlichen damit, dass die in Italien häuslicher Gewalt seitens ihres psychisch beeinträchtigten Ehemannes respektive Vaters ausgesetzt gewesen seien. Sie erfüllen die Flüchtlingseigenschaft aus diesem Grund indessen schon deshalb nicht, weil ihnen solche Nachteile nicht aus einem der in Art. 3 Abs. 1 AsylG abschliessend genannten Gründe zugefügt worden sind. Hinzu kommt, dass die flüchtlingsrechtliche Relevanz von erlittenen oder zu befürchtenden Nachteilen mit Bezug auf den Heimatstaat zu beurteilen ist. Das SEM hat in der angefochtenen Verfügung einerseits zu Recht darauf hingewiesen, dass sich die Erlebnisse im Drittstaat Italien asylrechtlich grundsätzlich als irrelevant erweisen (vgl. Verfügung S. 4); andererseits lebt der Ehemann/Vater der Beschwerdeführerinnen nicht in Tunesien, sondern in Italien. Die Befürchtung der Beschwerdeführerinnen, nach einer Rückkehr in den Heimatstat erhebliche Nachteile gemäss Art. 3 Abs. 2 AsylG mit beachtlicher Wahrscheinlichkeit und in absehbarer Zukunft gewärtigen zu müssen (vgl. etwa BVGE 2013/11 E. 5.1 und 2011/51 E. 6.1, je m.w.H.), ist daher unbegründet. Der Vollständigkeit halber ist an dieser Stelle festzuhalten, dass es ihnen auch möglich und zuzumuten wäre, sich bei Bedarf zum Schutz vor familiären Übergriffen an die heimatlichen Behörden zu wenden.</w:t>
      </w:r>
    </w:p>
    <w:p>
      <w:r>
        <w:rPr>
          <w:b/>
        </w:rPr>
        <w:t>E. 6.2</w:t>
      </w:r>
    </w:p>
    <w:p>
      <w:r>
        <w:t>Soweit die Beschwerdeführerin geltend macht, wegen der allgemeinen Armut und Sicherheitslage, wegen ihrer längeren Landesabwesenheit oder wegen der generellen Verbreitung des Terrorismus nicht nach Tunesien zurückkehren zu können (vgl. Protokoll Anhörung vom 17. April 2018 S. 20), werden damit offensichtlich ebenfalls keine Umstände angerufen, die geeignet wären, die Flüchtlingseigenschaft zu begründen.</w:t>
      </w:r>
    </w:p>
    <w:p>
      <w:r>
        <w:rPr>
          <w:b/>
        </w:rPr>
        <w:t>E. 6.3</w:t>
      </w:r>
    </w:p>
    <w:p>
      <w:r>
        <w:t>Die Vorinstanz hat nach dem Gesagten zu Recht die Flüchtlingseigenschaft der Beschwerdeführerinnen verneint und ihre Asylgesuche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8.2.3</w:t>
      </w:r>
    </w:p>
    <w:p>
      <w:r>
        <w:t>Sodann ergeben sich weder aus den Aussagen der Beschwerde-führerinnen noch aus den Akten Anhaltspunkte dafür, dass sie für den Fall einer Ausschaffung nach Tunesien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w:t>
      </w:r>
    </w:p>
    <w:p>
      <w:r>
        <w:rPr>
          <w:b/>
        </w:rPr>
        <w:t>E. 8.2.4</w:t>
      </w:r>
    </w:p>
    <w:p>
      <w:r>
        <w:t>Soweit in der Beschwerde auf die Bestimmungen des Übereinkommens vom 20. November 1989 über die Rechte des Kindes (Kinderrechtskonvention, KRK, SR 0.107) und das Kindeswohl Bezug genommen wird, vermögen - wie nachfolgend aufgezeigt wird - auch diese Vorbringen nicht zur Undurchführbarkeit des Vollzugs zu führen.</w:t>
      </w:r>
    </w:p>
    <w:p>
      <w:r>
        <w:rPr>
          <w:b/>
        </w:rPr>
        <w:t>E. 8.2.5</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Tunesien herrscht keine Situation allgemeiner Gewalt. Der Vollzug von Wegweisungen in dieses Herkunftsland ist nicht generell unzumutbar.</w:t>
      </w:r>
    </w:p>
    <w:p>
      <w:r>
        <w:rPr>
          <w:b/>
        </w:rPr>
        <w:t>E. 8.3.2</w:t>
      </w:r>
    </w:p>
    <w:p>
      <w:r>
        <w:t>Die Beschwerdeführerin stammt aus C._______ im Nordosten Tunesiens, wo sie die ersten 27 Jahre ihres Lebens verbracht hat. Gemäss ihren Angaben leben ihre Mutter in ihrem Heimatort und eine Schwester in der rund 70 km entfernten Ortschaft D._______. Ein Bruder lebt in Italien und eine Schwester (mit Aufenthaltsbewilligung) in der Schweiz. Im (...) 2008 ging die Beschwerdeführerin das erste Mal nach Italien, für welches Land sie mittlerweile eine unbefristete Aufenthaltserlaubnis hat. Sie verfügt über ein Diplom und über einschlägige Berufserfahrung im Bereich der (...) in Tunesien; in Italien war sie zudem auch als Haushaltshilfe und als Betreuerin einer alten Frau erwerbstätig (vgl. Protokoll BzP S. 3 ff., Protokoll Anhörung vom 27. September 2016 S. 3 ff., Protokoll Anhörung vom 17. April 2018 S. 5 ff.).</w:t>
      </w:r>
    </w:p>
    <w:p>
      <w:r>
        <w:rPr>
          <w:b/>
        </w:rPr>
        <w:t>E. 8.3.3</w:t>
      </w:r>
    </w:p>
    <w:p>
      <w:r>
        <w:t>Aus dem Gesagten und den Akten ergibt sich, dass die Beschwerdeführerinnen in Tunesien über ein familiäres Beziehungsnetz verfügen. Es kann davon ausgegangen werden, dass sie auf dieses zurückgreifen könnten, sollten sie beim Aufbau ihrer Existenzgrundlage auf Unterstützung angewiesen sein. Es ist davon auszugehen, dass die Beschwerdeführerin auch als alleinerziehende Mutter in der Lage sein wird, in Tunesien ihre Existenz und diejenige ihrer Tochter zu sichern.</w:t>
      </w:r>
    </w:p>
    <w:p>
      <w:r>
        <w:rPr>
          <w:b/>
        </w:rPr>
        <w:t>E. 8.3.4</w:t>
      </w:r>
    </w:p>
    <w:p>
      <w:r>
        <w:t>Sind von einem allfälligen Wegweisungsvollzug Kinder betroffen, bildet im Rahmen der Zumutbarkeitsprüfung das Kindeswohl einen Gesichtspunkt von gewichtiger Bedeutung. Dies ergibt sich nicht zuletzt aus einer völkerrechtskonformen Auslegung von Art. 83 Abs. 4 AuG im Licht von Art. 3 Abs. 1 KRK.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Der letztgenannte Aspekt ist im Hinblick auf die Prüfung der Chancen und Hindernisse einer Reintegration im Heimatland bei einem Kind besonders zu gewichten; die Verwurzelung in der Schweiz kann eine reziproke Wirkung auf die Frage der Zumutbarkeit des Wegweisungsvollzugs haben, indem eine starke Assimilierung in der Schweiz eine eigentliche Entwurzelung mit Bezug auf den Heimatstaat zur Folge haben kann, was die Rückkehr dorthin unzumutbar erscheinen lassen kann (vgl. BVGE 2009/28 E. 9.3.2. m.w.H.).</w:t>
      </w:r>
    </w:p>
    <w:p>
      <w:r>
        <w:rPr>
          <w:b/>
        </w:rPr>
        <w:t>E. 8.3.5</w:t>
      </w:r>
    </w:p>
    <w:p>
      <w:r>
        <w:t>Die Tochter der Beschwerdeführerin ist heute (...) Jahre alt und lebt seit Mitte November 2014 in der Schweiz. In diesen gut dreieinhalb Jahren hat zweifellos eine gewisse Integration des kürzlich eingeschulten Kindes in der Schweiz stattgefunden (vgl. Beschwerde S. 26 ff., Beschwerdebeilagen 12 ff.). Den mit der Beschwerde eingereichten Unterlagen ist denn auch zu entnehmen, dass das Mädchen über recht gute Kenntnisse der deutschen Sprache verfügt (vgl. Beschwerdebeilage 13), während die Kenntnisse der arabischen Sprache nicht dem Niveau ihrer Altersklasse entsprächen und sie "in Tunesien zwei Jahre zurückgestuft werden müsste" (vgl. Beschwerdebeilage 12). Eine Neuorientierung in diesem Land dürfte unter diesen Umständen zweifellos mit Unannehmlichkeiten und Aufwand verbunden sein. Angesichts der altersbedingten Nähe zur Mutter und der vergleichsweise kurzen Dauer des Aufenthalts in der Schweiz ist indessen noch nicht von einer eigentlichen Verwurzelung der Tochter in der Schweiz auszugehen, so dass eine Ausreise nach Tunesien mit dem Kindeswohl nicht vereinbar erschiene respektive eine Gefährdung im Sinn von Art. 83 Abs. 4 AuG zur Folge hätte.</w:t>
      </w:r>
    </w:p>
    <w:p>
      <w:r>
        <w:rPr>
          <w:b/>
        </w:rPr>
        <w:t>E. 8.3.6</w:t>
      </w:r>
    </w:p>
    <w:p>
      <w:r>
        <w:t>Nach dem Gesagten erweist sich der Vollzug der Wegweisung unter Würdigung aller Umstände auch als zumutbar.</w:t>
      </w:r>
    </w:p>
    <w:p>
      <w:r>
        <w:rPr>
          <w:b/>
        </w:rPr>
        <w:t>E. 8.4</w:t>
      </w:r>
    </w:p>
    <w:p>
      <w:r>
        <w:t>Schliesslich obliegt es den Beschwerdeführerinnen, sich bei der zuständigen Vertretung des Heimatstaates die für eine Rückkehr allenfalls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